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29CB" w14:textId="77777777" w:rsidR="00DA689E" w:rsidRPr="005E7DF6" w:rsidRDefault="00DA689E" w:rsidP="00DA689E">
      <w:pPr>
        <w:jc w:val="center"/>
        <w:rPr>
          <w:rFonts w:ascii="IBM Plex Sans Light" w:hAnsi="IBM Plex Sans Light" w:cs="Arial"/>
          <w:b/>
          <w:sz w:val="20"/>
          <w:szCs w:val="20"/>
          <w:lang w:val="x-none"/>
        </w:rPr>
      </w:pPr>
    </w:p>
    <w:p w14:paraId="23854976" w14:textId="0519E7B5" w:rsidR="00DA689E" w:rsidRPr="005E7DF6" w:rsidRDefault="00DA689E" w:rsidP="00DA689E">
      <w:pPr>
        <w:jc w:val="center"/>
        <w:rPr>
          <w:rFonts w:ascii="IBM Plex Sans Light" w:hAnsi="IBM Plex Sans Light"/>
          <w:b/>
          <w:sz w:val="28"/>
          <w:szCs w:val="28"/>
          <w:u w:val="single"/>
        </w:rPr>
      </w:pPr>
      <w:r w:rsidRPr="005E7DF6">
        <w:rPr>
          <w:rFonts w:ascii="IBM Plex Sans Light" w:hAnsi="IBM Plex Sans Light"/>
          <w:b/>
          <w:sz w:val="28"/>
          <w:szCs w:val="28"/>
          <w:u w:val="single"/>
        </w:rPr>
        <w:t xml:space="preserve">OŚWIADCZENIE O </w:t>
      </w:r>
      <w:r w:rsidR="00727164" w:rsidRPr="005E7DF6">
        <w:rPr>
          <w:rFonts w:ascii="IBM Plex Sans Light" w:hAnsi="IBM Plex Sans Light"/>
          <w:b/>
          <w:sz w:val="28"/>
          <w:szCs w:val="28"/>
          <w:u w:val="single"/>
        </w:rPr>
        <w:t>STATUSIE PRZEDSIĘBIORSTWA</w:t>
      </w:r>
    </w:p>
    <w:p w14:paraId="6C5D200B" w14:textId="32412880" w:rsidR="00727164" w:rsidRPr="005E7DF6" w:rsidRDefault="00727164" w:rsidP="00DA689E">
      <w:pPr>
        <w:jc w:val="center"/>
        <w:rPr>
          <w:rFonts w:ascii="IBM Plex Sans Light" w:hAnsi="IBM Plex Sans Light"/>
          <w:b/>
          <w:sz w:val="28"/>
          <w:szCs w:val="28"/>
          <w:u w:val="single"/>
        </w:rPr>
      </w:pPr>
    </w:p>
    <w:tbl>
      <w:tblPr>
        <w:tblStyle w:val="Tabela-Siatka"/>
        <w:tblW w:w="0" w:type="auto"/>
        <w:tblLook w:val="04A0" w:firstRow="1" w:lastRow="0" w:firstColumn="1" w:lastColumn="0" w:noHBand="0" w:noVBand="1"/>
      </w:tblPr>
      <w:tblGrid>
        <w:gridCol w:w="9628"/>
      </w:tblGrid>
      <w:tr w:rsidR="00B23957" w:rsidRPr="005E7DF6" w14:paraId="74C8C645" w14:textId="77777777" w:rsidTr="00B23957">
        <w:tc>
          <w:tcPr>
            <w:tcW w:w="9628" w:type="dxa"/>
            <w:shd w:val="clear" w:color="auto" w:fill="F2F2F2" w:themeFill="background1" w:themeFillShade="F2"/>
          </w:tcPr>
          <w:p w14:paraId="1F12EF03" w14:textId="77777777" w:rsidR="00B23957" w:rsidRPr="005E7DF6" w:rsidRDefault="00B23957" w:rsidP="00B571AF">
            <w:pPr>
              <w:pStyle w:val="Akapitzlist"/>
              <w:numPr>
                <w:ilvl w:val="0"/>
                <w:numId w:val="8"/>
              </w:numPr>
              <w:rPr>
                <w:rFonts w:ascii="IBM Plex Sans Light" w:hAnsi="IBM Plex Sans Light" w:cs="Arial"/>
                <w:sz w:val="20"/>
                <w:szCs w:val="20"/>
              </w:rPr>
            </w:pPr>
            <w:r w:rsidRPr="005E7DF6">
              <w:rPr>
                <w:rFonts w:ascii="IBM Plex Sans Light" w:hAnsi="IBM Plex Sans Light" w:cs="Arial"/>
                <w:sz w:val="20"/>
                <w:szCs w:val="20"/>
              </w:rPr>
              <w:t>W Formularzu należy wypełnić tylko białe pola.</w:t>
            </w:r>
          </w:p>
          <w:p w14:paraId="10859D85" w14:textId="64AF63CB" w:rsidR="00B23957" w:rsidRPr="005D175A" w:rsidRDefault="005D175A" w:rsidP="005D175A">
            <w:pPr>
              <w:pStyle w:val="Akapitzlist"/>
              <w:numPr>
                <w:ilvl w:val="0"/>
                <w:numId w:val="8"/>
              </w:numPr>
              <w:rPr>
                <w:rFonts w:ascii="IBM Plex Sans Light" w:hAnsi="IBM Plex Sans Light" w:cs="Arial"/>
                <w:sz w:val="20"/>
                <w:szCs w:val="20"/>
              </w:rPr>
            </w:pPr>
            <w:r>
              <w:rPr>
                <w:rFonts w:ascii="IBM Plex Sans Light" w:hAnsi="IBM Plex Sans Light" w:cs="Arial"/>
                <w:sz w:val="20"/>
                <w:szCs w:val="20"/>
              </w:rPr>
              <w:t xml:space="preserve">W wierszach </w:t>
            </w:r>
            <w:r w:rsidRPr="005D175A">
              <w:rPr>
                <w:rFonts w:ascii="IBM Plex Sans Light" w:hAnsi="IBM Plex Sans Light" w:cs="Arial"/>
                <w:i/>
                <w:iCs/>
                <w:sz w:val="20"/>
                <w:szCs w:val="20"/>
              </w:rPr>
              <w:t>Dane stosowane do określenia statusu przedsiębiorstwa</w:t>
            </w:r>
            <w:r w:rsidRPr="005D175A">
              <w:rPr>
                <w:rFonts w:ascii="IBM Plex Sans Light" w:hAnsi="IBM Plex Sans Light" w:cs="Arial"/>
                <w:sz w:val="20"/>
                <w:szCs w:val="20"/>
              </w:rPr>
              <w:t xml:space="preserve"> </w:t>
            </w:r>
            <w:r>
              <w:rPr>
                <w:rFonts w:ascii="IBM Plex Sans Light" w:hAnsi="IBM Plex Sans Light" w:cs="Arial"/>
                <w:sz w:val="20"/>
                <w:szCs w:val="20"/>
              </w:rPr>
              <w:t>należy podać dane za 3 kolejne zamknięte lata obrachunkowe (</w:t>
            </w:r>
            <w:r>
              <w:rPr>
                <w:rFonts w:ascii="IBM Plex Sans Light" w:eastAsia="Calibri" w:hAnsi="IBM Plex Sans Light"/>
                <w:sz w:val="20"/>
                <w:szCs w:val="20"/>
              </w:rPr>
              <w:t>np. wypełniając Oświadczenie w roku 2025 należy podać dane za lata: od 01.01.2024 do 31.12.2024 oraz od 01.01.2023 do 31.12.2023 oraz od 01.01.2022 do 31.12.2022)</w:t>
            </w:r>
            <w:r>
              <w:rPr>
                <w:rFonts w:ascii="IBM Plex Sans Light" w:hAnsi="IBM Plex Sans Light" w:cs="Arial"/>
                <w:sz w:val="20"/>
                <w:szCs w:val="20"/>
              </w:rPr>
              <w:t>. W</w:t>
            </w:r>
            <w:r w:rsidR="00B23957" w:rsidRPr="005D175A">
              <w:rPr>
                <w:rFonts w:ascii="IBM Plex Sans Light" w:eastAsia="Calibri" w:hAnsi="IBM Plex Sans Light"/>
                <w:sz w:val="20"/>
                <w:szCs w:val="20"/>
              </w:rPr>
              <w:t xml:space="preserve"> przypadku nowoutworzonych przedsiębiorstw, których księgi rachunkowe jeszcze nie zostały zamknięte, należy </w:t>
            </w:r>
            <w:r>
              <w:rPr>
                <w:rFonts w:ascii="IBM Plex Sans Light" w:eastAsia="Calibri" w:hAnsi="IBM Plex Sans Light"/>
                <w:sz w:val="20"/>
                <w:szCs w:val="20"/>
              </w:rPr>
              <w:t xml:space="preserve">podać zakres </w:t>
            </w:r>
            <w:r w:rsidR="00B23957" w:rsidRPr="005D175A">
              <w:rPr>
                <w:rFonts w:ascii="IBM Plex Sans Light" w:eastAsia="Calibri" w:hAnsi="IBM Plex Sans Light"/>
                <w:sz w:val="20"/>
                <w:szCs w:val="20"/>
              </w:rPr>
              <w:t>dat</w:t>
            </w:r>
            <w:r w:rsidR="00AD64C7" w:rsidRPr="005D175A">
              <w:rPr>
                <w:rFonts w:ascii="IBM Plex Sans Light" w:eastAsia="Calibri" w:hAnsi="IBM Plex Sans Light"/>
                <w:sz w:val="20"/>
                <w:szCs w:val="20"/>
              </w:rPr>
              <w:t xml:space="preserve"> zgodnie z przypisem 5</w:t>
            </w:r>
            <w:r w:rsidR="00B23957" w:rsidRPr="005D175A">
              <w:rPr>
                <w:rFonts w:ascii="IBM Plex Sans Light" w:eastAsia="Calibri" w:hAnsi="IBM Plex Sans Light"/>
                <w:sz w:val="20"/>
                <w:szCs w:val="20"/>
              </w:rPr>
              <w:t xml:space="preserve">. </w:t>
            </w:r>
          </w:p>
          <w:p w14:paraId="48E8F18E" w14:textId="2B40ED1A" w:rsidR="00B23957" w:rsidRPr="005E7DF6" w:rsidRDefault="00B23957" w:rsidP="00B571AF">
            <w:pPr>
              <w:pStyle w:val="Akapitzlist"/>
              <w:numPr>
                <w:ilvl w:val="0"/>
                <w:numId w:val="8"/>
              </w:numPr>
              <w:rPr>
                <w:rFonts w:ascii="IBM Plex Sans Light" w:hAnsi="IBM Plex Sans Light" w:cs="Arial"/>
                <w:sz w:val="20"/>
                <w:szCs w:val="20"/>
              </w:rPr>
            </w:pPr>
            <w:r w:rsidRPr="005E7DF6">
              <w:rPr>
                <w:rFonts w:ascii="IBM Plex Sans Light" w:hAnsi="IBM Plex Sans Light" w:cs="Arial"/>
                <w:sz w:val="20"/>
                <w:szCs w:val="20"/>
              </w:rPr>
              <w:t>W przypadku, gdy zakres danych nie dotyczy Zgłoszeniodawcy należy wpisać „nie dotyczy” lub wstawić znak „–”.</w:t>
            </w:r>
          </w:p>
          <w:p w14:paraId="654074AC" w14:textId="1A4369C2" w:rsidR="00B23957" w:rsidRPr="005E7DF6" w:rsidRDefault="00B23957" w:rsidP="00B571AF">
            <w:pPr>
              <w:pStyle w:val="Akapitzlist"/>
              <w:numPr>
                <w:ilvl w:val="0"/>
                <w:numId w:val="8"/>
              </w:numPr>
              <w:rPr>
                <w:rFonts w:ascii="IBM Plex Sans Light" w:hAnsi="IBM Plex Sans Light" w:cs="Arial"/>
                <w:sz w:val="20"/>
                <w:szCs w:val="20"/>
              </w:rPr>
            </w:pPr>
            <w:r w:rsidRPr="005E7DF6">
              <w:rPr>
                <w:rFonts w:ascii="IBM Plex Sans Light" w:hAnsi="IBM Plex Sans Light" w:cs="Arial"/>
                <w:sz w:val="20"/>
                <w:szCs w:val="20"/>
              </w:rPr>
              <w:t xml:space="preserve">W przypadku niewypełniania tabel 3. i 4. Należy je przekreślić </w:t>
            </w:r>
          </w:p>
        </w:tc>
      </w:tr>
    </w:tbl>
    <w:p w14:paraId="4B5FEFE2" w14:textId="4E0F2BAF" w:rsidR="00DA689E" w:rsidRPr="005E7DF6" w:rsidRDefault="00DA689E" w:rsidP="00DA689E">
      <w:pPr>
        <w:spacing w:line="360" w:lineRule="auto"/>
        <w:rPr>
          <w:rFonts w:ascii="IBM Plex Sans Light" w:hAnsi="IBM Plex Sans Light" w:cs="Arial"/>
        </w:rPr>
      </w:pPr>
    </w:p>
    <w:tbl>
      <w:tblPr>
        <w:tblStyle w:val="Tabela-Siatka"/>
        <w:tblW w:w="0" w:type="auto"/>
        <w:tblLook w:val="04A0" w:firstRow="1" w:lastRow="0" w:firstColumn="1" w:lastColumn="0" w:noHBand="0" w:noVBand="1"/>
      </w:tblPr>
      <w:tblGrid>
        <w:gridCol w:w="3114"/>
        <w:gridCol w:w="6514"/>
      </w:tblGrid>
      <w:tr w:rsidR="00727164" w:rsidRPr="005E7DF6" w14:paraId="2754F3E2" w14:textId="77777777" w:rsidTr="00B571AF">
        <w:trPr>
          <w:trHeight w:val="284"/>
        </w:trPr>
        <w:tc>
          <w:tcPr>
            <w:tcW w:w="3114" w:type="dxa"/>
            <w:shd w:val="clear" w:color="auto" w:fill="BFBFBF" w:themeFill="background1" w:themeFillShade="BF"/>
          </w:tcPr>
          <w:p w14:paraId="5A1C7DEE" w14:textId="77777777" w:rsidR="00727164" w:rsidRPr="005E7DF6" w:rsidRDefault="00727164" w:rsidP="00371FD4">
            <w:pPr>
              <w:rPr>
                <w:rFonts w:ascii="IBM Plex Sans Light" w:hAnsi="IBM Plex Sans Light"/>
                <w:b/>
                <w:bCs/>
                <w:sz w:val="22"/>
                <w:szCs w:val="22"/>
              </w:rPr>
            </w:pPr>
            <w:r w:rsidRPr="005E7DF6">
              <w:rPr>
                <w:rFonts w:ascii="IBM Plex Sans Light" w:hAnsi="IBM Plex Sans Light"/>
                <w:b/>
                <w:bCs/>
                <w:sz w:val="22"/>
                <w:szCs w:val="22"/>
              </w:rPr>
              <w:t>Zgłoszeniodawca</w:t>
            </w:r>
          </w:p>
          <w:p w14:paraId="3BA2993A" w14:textId="7488A607" w:rsidR="00B571AF" w:rsidRPr="005E7DF6" w:rsidRDefault="00B571AF" w:rsidP="00371FD4">
            <w:pPr>
              <w:rPr>
                <w:rFonts w:ascii="IBM Plex Sans Light" w:hAnsi="IBM Plex Sans Light"/>
                <w:sz w:val="20"/>
                <w:szCs w:val="20"/>
              </w:rPr>
            </w:pPr>
            <w:r w:rsidRPr="005E7DF6">
              <w:rPr>
                <w:rFonts w:ascii="IBM Plex Sans Light" w:hAnsi="IBM Plex Sans Light"/>
                <w:sz w:val="20"/>
                <w:szCs w:val="20"/>
              </w:rPr>
              <w:t xml:space="preserve">(nazwa zgodnie z dokumentem rejestrowym) </w:t>
            </w:r>
          </w:p>
        </w:tc>
        <w:tc>
          <w:tcPr>
            <w:tcW w:w="6514" w:type="dxa"/>
          </w:tcPr>
          <w:p w14:paraId="67DD13FE" w14:textId="1C0481B7" w:rsidR="00727164" w:rsidRPr="005E7DF6" w:rsidRDefault="00727164" w:rsidP="00371FD4">
            <w:pPr>
              <w:rPr>
                <w:rFonts w:ascii="IBM Plex Sans Light" w:hAnsi="IBM Plex Sans Light"/>
                <w:sz w:val="20"/>
                <w:szCs w:val="20"/>
              </w:rPr>
            </w:pPr>
          </w:p>
        </w:tc>
      </w:tr>
      <w:tr w:rsidR="00727164" w:rsidRPr="005E7DF6" w14:paraId="0F6C5741" w14:textId="77777777" w:rsidTr="00B571AF">
        <w:trPr>
          <w:trHeight w:val="284"/>
        </w:trPr>
        <w:tc>
          <w:tcPr>
            <w:tcW w:w="3114" w:type="dxa"/>
            <w:shd w:val="clear" w:color="auto" w:fill="BFBFBF" w:themeFill="background1" w:themeFillShade="BF"/>
          </w:tcPr>
          <w:p w14:paraId="011CDB34" w14:textId="52B86CB5" w:rsidR="00727164" w:rsidRPr="005E7DF6" w:rsidRDefault="00727164" w:rsidP="00371FD4">
            <w:pPr>
              <w:rPr>
                <w:rFonts w:ascii="IBM Plex Sans Light" w:hAnsi="IBM Plex Sans Light"/>
                <w:b/>
                <w:bCs/>
                <w:sz w:val="22"/>
                <w:szCs w:val="22"/>
              </w:rPr>
            </w:pPr>
            <w:r w:rsidRPr="005E7DF6">
              <w:rPr>
                <w:rFonts w:ascii="IBM Plex Sans Light" w:hAnsi="IBM Plex Sans Light"/>
                <w:b/>
                <w:bCs/>
                <w:sz w:val="22"/>
                <w:szCs w:val="22"/>
              </w:rPr>
              <w:t>Tytuł projektu</w:t>
            </w:r>
          </w:p>
        </w:tc>
        <w:tc>
          <w:tcPr>
            <w:tcW w:w="6514" w:type="dxa"/>
          </w:tcPr>
          <w:p w14:paraId="4B1212E9" w14:textId="77777777" w:rsidR="00727164" w:rsidRPr="005E7DF6" w:rsidRDefault="00727164" w:rsidP="00371FD4">
            <w:pPr>
              <w:rPr>
                <w:rFonts w:ascii="IBM Plex Sans Light" w:hAnsi="IBM Plex Sans Light"/>
                <w:sz w:val="20"/>
                <w:szCs w:val="20"/>
              </w:rPr>
            </w:pPr>
          </w:p>
        </w:tc>
      </w:tr>
      <w:tr w:rsidR="00727164" w:rsidRPr="005E7DF6" w14:paraId="2AC59505" w14:textId="77777777" w:rsidTr="00B571AF">
        <w:trPr>
          <w:trHeight w:val="284"/>
        </w:trPr>
        <w:tc>
          <w:tcPr>
            <w:tcW w:w="3114" w:type="dxa"/>
            <w:shd w:val="clear" w:color="auto" w:fill="BFBFBF" w:themeFill="background1" w:themeFillShade="BF"/>
          </w:tcPr>
          <w:p w14:paraId="4A5C190D" w14:textId="55E7A7AA" w:rsidR="00727164" w:rsidRPr="005E7DF6" w:rsidRDefault="00727164" w:rsidP="00371FD4">
            <w:pPr>
              <w:rPr>
                <w:rFonts w:ascii="IBM Plex Sans Light" w:hAnsi="IBM Plex Sans Light"/>
                <w:b/>
                <w:bCs/>
                <w:sz w:val="22"/>
                <w:szCs w:val="22"/>
              </w:rPr>
            </w:pPr>
            <w:r w:rsidRPr="005E7DF6">
              <w:rPr>
                <w:rFonts w:ascii="IBM Plex Sans Light" w:hAnsi="IBM Plex Sans Light"/>
                <w:b/>
                <w:bCs/>
                <w:sz w:val="22"/>
                <w:szCs w:val="22"/>
              </w:rPr>
              <w:t>Akronim</w:t>
            </w:r>
          </w:p>
        </w:tc>
        <w:tc>
          <w:tcPr>
            <w:tcW w:w="6514" w:type="dxa"/>
          </w:tcPr>
          <w:p w14:paraId="4A39E9A7" w14:textId="77777777" w:rsidR="00727164" w:rsidRPr="005E7DF6" w:rsidRDefault="00727164" w:rsidP="00371FD4">
            <w:pPr>
              <w:rPr>
                <w:rFonts w:ascii="IBM Plex Sans Light" w:hAnsi="IBM Plex Sans Light"/>
                <w:sz w:val="20"/>
                <w:szCs w:val="20"/>
              </w:rPr>
            </w:pPr>
          </w:p>
        </w:tc>
      </w:tr>
    </w:tbl>
    <w:p w14:paraId="0A547D9C" w14:textId="699A915C" w:rsidR="00DA689E" w:rsidRPr="005E7DF6" w:rsidRDefault="00DA689E" w:rsidP="00371FD4">
      <w:pPr>
        <w:spacing w:line="360" w:lineRule="auto"/>
        <w:rPr>
          <w:rFonts w:ascii="IBM Plex Sans Light" w:hAnsi="IBM Plex Sans Light"/>
        </w:rPr>
      </w:pPr>
    </w:p>
    <w:p w14:paraId="1C46B377" w14:textId="77777777" w:rsidR="00B571AF" w:rsidRPr="00371FD4" w:rsidRDefault="00DA689E" w:rsidP="00371FD4">
      <w:pPr>
        <w:spacing w:line="360" w:lineRule="auto"/>
        <w:rPr>
          <w:rFonts w:ascii="IBM Plex Sans Light" w:hAnsi="IBM Plex Sans Light"/>
          <w:b/>
          <w:bCs/>
        </w:rPr>
      </w:pPr>
      <w:r w:rsidRPr="00371FD4">
        <w:rPr>
          <w:rFonts w:ascii="IBM Plex Sans Light" w:hAnsi="IBM Plex Sans Light"/>
          <w:b/>
          <w:bCs/>
        </w:rPr>
        <w:t>oświadcza, że</w:t>
      </w:r>
      <w:r w:rsidR="00B571AF" w:rsidRPr="00371FD4">
        <w:rPr>
          <w:rFonts w:ascii="IBM Plex Sans Light" w:hAnsi="IBM Plex Sans Light"/>
          <w:b/>
          <w:bCs/>
        </w:rPr>
        <w:t>:</w:t>
      </w:r>
    </w:p>
    <w:p w14:paraId="4EBDC5DF" w14:textId="3AFA59A3" w:rsidR="00DA689E" w:rsidRPr="005E7DF6" w:rsidRDefault="00DA689E" w:rsidP="00371FD4">
      <w:pPr>
        <w:pStyle w:val="Akapitzlist"/>
        <w:numPr>
          <w:ilvl w:val="0"/>
          <w:numId w:val="9"/>
        </w:numPr>
        <w:spacing w:line="360" w:lineRule="auto"/>
        <w:rPr>
          <w:rFonts w:ascii="IBM Plex Sans Light" w:hAnsi="IBM Plex Sans Light"/>
        </w:rPr>
      </w:pPr>
      <w:r w:rsidRPr="005E7DF6">
        <w:rPr>
          <w:rFonts w:ascii="IBM Plex Sans Light" w:hAnsi="IBM Plex Sans Light"/>
        </w:rPr>
        <w:t>jest</w:t>
      </w:r>
      <w:r w:rsidR="00E6425E" w:rsidRPr="005E7DF6">
        <w:rPr>
          <w:rFonts w:ascii="IBM Plex Sans Light" w:hAnsi="IBM Plex Sans Light"/>
        </w:rPr>
        <w:t xml:space="preserve"> (należy wstawić „X” w lewym polu)</w:t>
      </w:r>
      <w:r w:rsidRPr="005E7DF6">
        <w:rPr>
          <w:rFonts w:ascii="IBM Plex Sans Light" w:hAnsi="IBM Plex Sans Light"/>
        </w:rPr>
        <w:t>:</w:t>
      </w:r>
    </w:p>
    <w:tbl>
      <w:tblPr>
        <w:tblStyle w:val="Tabela-Siatka"/>
        <w:tblW w:w="0" w:type="auto"/>
        <w:tblLook w:val="04A0" w:firstRow="1" w:lastRow="0" w:firstColumn="1" w:lastColumn="0" w:noHBand="0" w:noVBand="1"/>
      </w:tblPr>
      <w:tblGrid>
        <w:gridCol w:w="1696"/>
        <w:gridCol w:w="7932"/>
      </w:tblGrid>
      <w:tr w:rsidR="00752B39" w:rsidRPr="005E7DF6" w14:paraId="1A4CC72E" w14:textId="77777777" w:rsidTr="00E6425E">
        <w:tc>
          <w:tcPr>
            <w:tcW w:w="1696" w:type="dxa"/>
          </w:tcPr>
          <w:p w14:paraId="6C0FDB3A" w14:textId="77777777" w:rsidR="00752B39" w:rsidRPr="005E7DF6" w:rsidRDefault="00752B39" w:rsidP="00371FD4">
            <w:pPr>
              <w:jc w:val="both"/>
              <w:rPr>
                <w:rFonts w:ascii="IBM Plex Sans Light" w:hAnsi="IBM Plex Sans Light"/>
                <w:b/>
              </w:rPr>
            </w:pPr>
          </w:p>
        </w:tc>
        <w:tc>
          <w:tcPr>
            <w:tcW w:w="7932" w:type="dxa"/>
            <w:shd w:val="clear" w:color="auto" w:fill="BFBFBF" w:themeFill="background1" w:themeFillShade="BF"/>
          </w:tcPr>
          <w:p w14:paraId="375A3269" w14:textId="7B084B31" w:rsidR="00752B39" w:rsidRPr="005E7DF6" w:rsidRDefault="00752B39" w:rsidP="00371FD4">
            <w:pPr>
              <w:jc w:val="both"/>
              <w:rPr>
                <w:rFonts w:ascii="IBM Plex Sans Light" w:hAnsi="IBM Plex Sans Light"/>
                <w:b/>
              </w:rPr>
            </w:pPr>
            <w:r w:rsidRPr="005E7DF6">
              <w:rPr>
                <w:rFonts w:ascii="IBM Plex Sans Light" w:hAnsi="IBM Plex Sans Light"/>
                <w:b/>
              </w:rPr>
              <w:t>mikroprzedsiębiorstwem</w:t>
            </w:r>
          </w:p>
        </w:tc>
      </w:tr>
      <w:tr w:rsidR="00752B39" w:rsidRPr="005E7DF6" w14:paraId="18FBEEFE" w14:textId="77777777" w:rsidTr="00E6425E">
        <w:tc>
          <w:tcPr>
            <w:tcW w:w="1696" w:type="dxa"/>
          </w:tcPr>
          <w:p w14:paraId="0E81EBCF" w14:textId="77777777" w:rsidR="00752B39" w:rsidRPr="005E7DF6" w:rsidRDefault="00752B39" w:rsidP="00371FD4">
            <w:pPr>
              <w:jc w:val="both"/>
              <w:rPr>
                <w:rFonts w:ascii="IBM Plex Sans Light" w:hAnsi="IBM Plex Sans Light"/>
                <w:b/>
              </w:rPr>
            </w:pPr>
          </w:p>
        </w:tc>
        <w:tc>
          <w:tcPr>
            <w:tcW w:w="7932" w:type="dxa"/>
            <w:shd w:val="clear" w:color="auto" w:fill="BFBFBF" w:themeFill="background1" w:themeFillShade="BF"/>
          </w:tcPr>
          <w:p w14:paraId="29400B3D" w14:textId="2C030882" w:rsidR="00752B39" w:rsidRPr="005E7DF6" w:rsidRDefault="00752B39" w:rsidP="00371FD4">
            <w:pPr>
              <w:jc w:val="both"/>
              <w:rPr>
                <w:rFonts w:ascii="IBM Plex Sans Light" w:hAnsi="IBM Plex Sans Light"/>
                <w:b/>
              </w:rPr>
            </w:pPr>
            <w:r w:rsidRPr="005E7DF6">
              <w:rPr>
                <w:rFonts w:ascii="IBM Plex Sans Light" w:hAnsi="IBM Plex Sans Light"/>
                <w:b/>
              </w:rPr>
              <w:t>małym przedsiębiorstwem</w:t>
            </w:r>
          </w:p>
        </w:tc>
      </w:tr>
    </w:tbl>
    <w:p w14:paraId="42DAC3D5" w14:textId="2EEBAA3F" w:rsidR="0004505C" w:rsidRPr="005E7DF6" w:rsidRDefault="00DA689E" w:rsidP="00DA689E">
      <w:pPr>
        <w:jc w:val="both"/>
        <w:rPr>
          <w:rFonts w:ascii="IBM Plex Sans Light" w:hAnsi="IBM Plex Sans Light"/>
          <w:lang w:eastAsia="x-none"/>
        </w:rPr>
      </w:pPr>
      <w:r w:rsidRPr="005E7DF6">
        <w:rPr>
          <w:rFonts w:ascii="IBM Plex Sans Light" w:hAnsi="IBM Plex Sans Light"/>
          <w:lang w:eastAsia="x-none"/>
        </w:rPr>
        <w:t>spełniającym warunki określone w załączniku I do rozporządzenia Komisji (UE) Nr 651/2014 z dnia 17 czerwca 2014 r. uznającego niektóre rodzaje pomocy za zgodne z rynkiem wewnętrznym w zastosowaniu art. 107 i 108 Traktatu (ogólne rozporządzenie w sprawie włączeń blokowych) (</w:t>
      </w:r>
      <w:r w:rsidR="006D5EC2" w:rsidRPr="006D5EC2">
        <w:rPr>
          <w:rFonts w:ascii="IBM Plex Sans Light" w:hAnsi="IBM Plex Sans Light"/>
          <w:lang w:eastAsia="x-none"/>
        </w:rPr>
        <w:t xml:space="preserve">Dz. U. UE. L. z 2014 r. Nr 187, str. 1 z </w:t>
      </w:r>
      <w:proofErr w:type="spellStart"/>
      <w:r w:rsidR="006D5EC2" w:rsidRPr="006D5EC2">
        <w:rPr>
          <w:rFonts w:ascii="IBM Plex Sans Light" w:hAnsi="IBM Plex Sans Light"/>
          <w:lang w:eastAsia="x-none"/>
        </w:rPr>
        <w:t>późn</w:t>
      </w:r>
      <w:proofErr w:type="spellEnd"/>
      <w:r w:rsidR="006D5EC2" w:rsidRPr="006D5EC2">
        <w:rPr>
          <w:rFonts w:ascii="IBM Plex Sans Light" w:hAnsi="IBM Plex Sans Light"/>
          <w:lang w:eastAsia="x-none"/>
        </w:rPr>
        <w:t>. zm</w:t>
      </w:r>
      <w:r w:rsidR="006D5EC2">
        <w:rPr>
          <w:rFonts w:ascii="IBM Plex Sans Light" w:hAnsi="IBM Plex Sans Light"/>
          <w:lang w:eastAsia="x-none"/>
        </w:rPr>
        <w:t>.</w:t>
      </w:r>
      <w:r w:rsidRPr="005E7DF6">
        <w:rPr>
          <w:rFonts w:ascii="IBM Plex Sans Light" w:hAnsi="IBM Plex Sans Light"/>
          <w:lang w:eastAsia="x-none"/>
        </w:rPr>
        <w:t>)</w:t>
      </w:r>
      <w:r w:rsidR="0004505C" w:rsidRPr="005E7DF6">
        <w:rPr>
          <w:rStyle w:val="Odwoanieprzypisukocowego"/>
          <w:rFonts w:ascii="IBM Plex Sans Light" w:hAnsi="IBM Plex Sans Light"/>
          <w:lang w:eastAsia="x-none"/>
        </w:rPr>
        <w:endnoteReference w:id="1"/>
      </w:r>
      <w:r w:rsidR="0004505C" w:rsidRPr="005E7DF6">
        <w:rPr>
          <w:rFonts w:ascii="IBM Plex Sans Light" w:hAnsi="IBM Plex Sans Light"/>
          <w:lang w:eastAsia="x-none"/>
        </w:rPr>
        <w:t xml:space="preserve"> </w:t>
      </w:r>
    </w:p>
    <w:p w14:paraId="4C9F074D" w14:textId="77777777" w:rsidR="00B571AF" w:rsidRPr="005E7DF6" w:rsidRDefault="00B571AF" w:rsidP="00B571AF">
      <w:pPr>
        <w:pStyle w:val="Akapitzlist"/>
        <w:numPr>
          <w:ilvl w:val="0"/>
          <w:numId w:val="9"/>
        </w:numPr>
        <w:jc w:val="both"/>
        <w:rPr>
          <w:rFonts w:ascii="IBM Plex Sans Light" w:hAnsi="IBM Plex Sans Light"/>
          <w:lang w:eastAsia="x-none"/>
        </w:rPr>
      </w:pPr>
      <w:r w:rsidRPr="005E7DF6">
        <w:rPr>
          <w:rFonts w:ascii="IBM Plex Sans Light" w:hAnsi="IBM Plex Sans Light"/>
          <w:lang w:eastAsia="x-none"/>
        </w:rPr>
        <w:t>nie jest notowana na giełdzie,</w:t>
      </w:r>
    </w:p>
    <w:p w14:paraId="028A33DA" w14:textId="0BE80465" w:rsidR="00B571AF" w:rsidRPr="005E7DF6" w:rsidRDefault="00B571AF" w:rsidP="00B571AF">
      <w:pPr>
        <w:pStyle w:val="Akapitzlist"/>
        <w:numPr>
          <w:ilvl w:val="0"/>
          <w:numId w:val="9"/>
        </w:numPr>
        <w:jc w:val="both"/>
        <w:rPr>
          <w:rFonts w:ascii="IBM Plex Sans Light" w:hAnsi="IBM Plex Sans Light"/>
          <w:lang w:eastAsia="x-none"/>
        </w:rPr>
      </w:pPr>
      <w:r w:rsidRPr="005E7DF6">
        <w:rPr>
          <w:rFonts w:ascii="IBM Plex Sans Light" w:hAnsi="IBM Plex Sans Light"/>
          <w:lang w:eastAsia="x-none"/>
        </w:rPr>
        <w:t>nie dokonała podziału zysku,</w:t>
      </w:r>
    </w:p>
    <w:p w14:paraId="36A5BEB3" w14:textId="390EB74A" w:rsidR="00B571AF" w:rsidRPr="005E7DF6" w:rsidRDefault="00B571AF" w:rsidP="00B571AF">
      <w:pPr>
        <w:pStyle w:val="Akapitzlist"/>
        <w:numPr>
          <w:ilvl w:val="0"/>
          <w:numId w:val="9"/>
        </w:numPr>
        <w:jc w:val="both"/>
        <w:rPr>
          <w:rFonts w:ascii="IBM Plex Sans Light" w:hAnsi="IBM Plex Sans Light"/>
          <w:lang w:eastAsia="x-none"/>
        </w:rPr>
      </w:pPr>
      <w:r w:rsidRPr="005E7DF6">
        <w:rPr>
          <w:rFonts w:ascii="IBM Plex Sans Light" w:hAnsi="IBM Plex Sans Light"/>
          <w:lang w:eastAsia="x-none"/>
        </w:rPr>
        <w:t>nie przejęła działalności innego przedsiębiorstwa, chyba że obrót z przejmowanej działalności stanowi mniej niż 10% obrotu kwalifikującego się przedsiębiorstwa w roku obrotowym poprzedzającym przejęcie</w:t>
      </w:r>
    </w:p>
    <w:p w14:paraId="3345E854" w14:textId="6FE5C568" w:rsidR="00B571AF" w:rsidRPr="005E7DF6" w:rsidRDefault="00B571AF" w:rsidP="00B571AF">
      <w:pPr>
        <w:pStyle w:val="Akapitzlist"/>
        <w:numPr>
          <w:ilvl w:val="0"/>
          <w:numId w:val="9"/>
        </w:numPr>
        <w:jc w:val="both"/>
        <w:rPr>
          <w:rFonts w:ascii="IBM Plex Sans Light" w:hAnsi="IBM Plex Sans Light"/>
          <w:lang w:eastAsia="x-none"/>
        </w:rPr>
      </w:pPr>
      <w:r w:rsidRPr="005E7DF6">
        <w:rPr>
          <w:rFonts w:ascii="IBM Plex Sans Light" w:hAnsi="IBM Plex Sans Light"/>
          <w:lang w:eastAsia="x-none"/>
        </w:rPr>
        <w:t>nie przejęła innego przedsiębiorstwa ani nie powstała w wyniku połączenia, chyba że obrót przejętego przedsiębiorstwa stanowi mniej niż 10% obrotu kwalifikującego się przedsiębiorstwa w roku obrotowym poprzedzającym przejęcie lub obrót przedsiębiorstwa powstałego w wyniku połączenia jest wyższy o mniej niż 10% od łącznego obrotu łączących się przedsiębiorstw w roku obrotowym poprzedzającym połączenie.</w:t>
      </w:r>
    </w:p>
    <w:p w14:paraId="6EC32F20" w14:textId="77777777" w:rsidR="0004505C" w:rsidRPr="005E7DF6" w:rsidRDefault="0004505C" w:rsidP="00DA689E">
      <w:pPr>
        <w:jc w:val="both"/>
        <w:rPr>
          <w:rFonts w:ascii="IBM Plex Sans Light" w:hAnsi="IBM Plex Sans Light"/>
          <w:lang w:eastAsia="x-none"/>
        </w:rPr>
      </w:pPr>
    </w:p>
    <w:tbl>
      <w:tblPr>
        <w:tblStyle w:val="Tabela-Siatka"/>
        <w:tblW w:w="5245" w:type="dxa"/>
        <w:tblInd w:w="4106" w:type="dxa"/>
        <w:tblLook w:val="04A0" w:firstRow="1" w:lastRow="0" w:firstColumn="1" w:lastColumn="0" w:noHBand="0" w:noVBand="1"/>
      </w:tblPr>
      <w:tblGrid>
        <w:gridCol w:w="5245"/>
      </w:tblGrid>
      <w:tr w:rsidR="00371FD4" w:rsidRPr="005E7DF6" w14:paraId="0C56804B" w14:textId="77777777" w:rsidTr="00632D85">
        <w:tc>
          <w:tcPr>
            <w:tcW w:w="5245" w:type="dxa"/>
          </w:tcPr>
          <w:p w14:paraId="080F5808" w14:textId="77777777" w:rsidR="00371FD4" w:rsidRPr="005E7DF6" w:rsidRDefault="00371FD4" w:rsidP="00632D85">
            <w:pPr>
              <w:pStyle w:val="Akapitzlist"/>
              <w:ind w:left="-102" w:firstLine="102"/>
              <w:rPr>
                <w:rFonts w:ascii="IBM Plex Sans Light" w:hAnsi="IBM Plex Sans Light" w:cstheme="minorHAnsi"/>
                <w:sz w:val="22"/>
                <w:szCs w:val="22"/>
                <w:lang w:eastAsia="en-US"/>
              </w:rPr>
            </w:pPr>
          </w:p>
          <w:p w14:paraId="4FB0ECEB" w14:textId="77777777" w:rsidR="00371FD4" w:rsidRPr="005E7DF6" w:rsidRDefault="00371FD4" w:rsidP="00632D85">
            <w:pPr>
              <w:pStyle w:val="Akapitzlist"/>
              <w:ind w:left="-102" w:firstLine="102"/>
              <w:rPr>
                <w:rFonts w:ascii="IBM Plex Sans Light" w:hAnsi="IBM Plex Sans Light" w:cstheme="minorHAnsi"/>
                <w:sz w:val="22"/>
                <w:szCs w:val="22"/>
                <w:lang w:eastAsia="en-US"/>
              </w:rPr>
            </w:pPr>
          </w:p>
          <w:p w14:paraId="517DCE2F" w14:textId="77777777" w:rsidR="00371FD4" w:rsidRPr="005E7DF6" w:rsidRDefault="00371FD4" w:rsidP="00632D85">
            <w:pPr>
              <w:pStyle w:val="Akapitzlist"/>
              <w:ind w:left="-102" w:firstLine="102"/>
              <w:rPr>
                <w:rFonts w:ascii="IBM Plex Sans Light" w:hAnsi="IBM Plex Sans Light" w:cstheme="minorHAnsi"/>
                <w:sz w:val="22"/>
                <w:szCs w:val="22"/>
                <w:lang w:eastAsia="en-US"/>
              </w:rPr>
            </w:pPr>
          </w:p>
          <w:p w14:paraId="625BC09B" w14:textId="77777777" w:rsidR="00371FD4" w:rsidRPr="005E7DF6" w:rsidRDefault="00371FD4" w:rsidP="00632D85">
            <w:pPr>
              <w:pStyle w:val="Akapitzlist"/>
              <w:ind w:left="-102" w:firstLine="102"/>
              <w:rPr>
                <w:rFonts w:ascii="IBM Plex Sans Light" w:hAnsi="IBM Plex Sans Light" w:cstheme="minorHAnsi"/>
                <w:sz w:val="22"/>
                <w:szCs w:val="22"/>
                <w:lang w:eastAsia="en-US"/>
              </w:rPr>
            </w:pPr>
          </w:p>
          <w:p w14:paraId="74F8EAD9" w14:textId="77777777" w:rsidR="00371FD4" w:rsidRPr="005E7DF6" w:rsidRDefault="00371FD4" w:rsidP="00632D85">
            <w:pPr>
              <w:pStyle w:val="Akapitzlist"/>
              <w:ind w:left="-102" w:firstLine="102"/>
              <w:rPr>
                <w:rFonts w:ascii="IBM Plex Sans Light" w:hAnsi="IBM Plex Sans Light" w:cstheme="minorHAnsi"/>
                <w:sz w:val="22"/>
                <w:szCs w:val="22"/>
                <w:lang w:eastAsia="en-US"/>
              </w:rPr>
            </w:pPr>
          </w:p>
        </w:tc>
      </w:tr>
      <w:tr w:rsidR="00371FD4" w:rsidRPr="005E7DF6" w14:paraId="0F6EDDA8" w14:textId="77777777" w:rsidTr="00632D85">
        <w:tc>
          <w:tcPr>
            <w:tcW w:w="5245" w:type="dxa"/>
            <w:shd w:val="clear" w:color="auto" w:fill="BFBFBF" w:themeFill="background1" w:themeFillShade="BF"/>
          </w:tcPr>
          <w:p w14:paraId="6D8481A7" w14:textId="77777777" w:rsidR="00371FD4" w:rsidRPr="005E7DF6" w:rsidRDefault="00371FD4" w:rsidP="00632D85">
            <w:pPr>
              <w:pStyle w:val="Akapitzlist"/>
              <w:ind w:left="0"/>
              <w:jc w:val="right"/>
              <w:rPr>
                <w:rFonts w:ascii="IBM Plex Sans Light" w:hAnsi="IBM Plex Sans Light" w:cstheme="minorHAnsi"/>
                <w:i/>
                <w:iCs/>
                <w:sz w:val="20"/>
                <w:szCs w:val="20"/>
                <w:lang w:eastAsia="en-US"/>
              </w:rPr>
            </w:pPr>
            <w:r w:rsidRPr="005E7DF6">
              <w:rPr>
                <w:rFonts w:ascii="IBM Plex Sans Light" w:hAnsi="IBM Plex Sans Light" w:cstheme="minorHAnsi"/>
                <w:i/>
                <w:iCs/>
                <w:sz w:val="20"/>
                <w:szCs w:val="20"/>
                <w:lang w:eastAsia="en-US"/>
              </w:rPr>
              <w:t>Data i podpis</w:t>
            </w:r>
          </w:p>
        </w:tc>
      </w:tr>
    </w:tbl>
    <w:p w14:paraId="2B40A6A8" w14:textId="0A9E72EC" w:rsidR="00B571AF" w:rsidRPr="005E7DF6" w:rsidRDefault="00371FD4" w:rsidP="00371FD4">
      <w:pPr>
        <w:rPr>
          <w:rFonts w:ascii="IBM Plex Sans Light" w:hAnsi="IBM Plex Sans Light"/>
          <w:b/>
          <w:bCs/>
          <w:lang w:eastAsia="x-none"/>
        </w:rPr>
      </w:pPr>
      <w:r>
        <w:rPr>
          <w:rFonts w:ascii="IBM Plex Sans Light" w:hAnsi="IBM Plex Sans Light"/>
          <w:b/>
          <w:bCs/>
          <w:lang w:eastAsia="x-none"/>
        </w:rPr>
        <w:lastRenderedPageBreak/>
        <w:t>Powyższe Oświadczenie, wypełniono na podstawie poniższych danych:</w:t>
      </w:r>
    </w:p>
    <w:p w14:paraId="5ECAAF4B" w14:textId="77777777" w:rsidR="00B571AF" w:rsidRPr="005E7DF6" w:rsidRDefault="00B571AF" w:rsidP="00752B39">
      <w:pPr>
        <w:jc w:val="center"/>
        <w:rPr>
          <w:rFonts w:ascii="IBM Plex Sans Light" w:hAnsi="IBM Plex Sans Light"/>
          <w:b/>
          <w:bCs/>
          <w:lang w:eastAsia="x-none"/>
        </w:rPr>
      </w:pPr>
    </w:p>
    <w:p w14:paraId="0F56ECEB" w14:textId="32F43CBB" w:rsidR="0004505C" w:rsidRPr="005E7DF6" w:rsidRDefault="0004505C" w:rsidP="00752B39">
      <w:pPr>
        <w:jc w:val="center"/>
        <w:rPr>
          <w:rFonts w:ascii="IBM Plex Sans Light" w:hAnsi="IBM Plex Sans Light"/>
          <w:b/>
          <w:bCs/>
          <w:lang w:eastAsia="x-none"/>
        </w:rPr>
      </w:pPr>
      <w:r w:rsidRPr="005E7DF6">
        <w:rPr>
          <w:rFonts w:ascii="IBM Plex Sans Light" w:hAnsi="IBM Plex Sans Light"/>
          <w:b/>
          <w:bCs/>
          <w:lang w:eastAsia="x-none"/>
        </w:rPr>
        <w:t>DANE SKUMULOWANE</w:t>
      </w:r>
      <w:r w:rsidR="008B4038" w:rsidRPr="005E7DF6">
        <w:rPr>
          <w:rFonts w:ascii="IBM Plex Sans Light" w:hAnsi="IBM Plex Sans Light"/>
          <w:b/>
          <w:bCs/>
          <w:vertAlign w:val="superscript"/>
          <w:lang w:eastAsia="x-none"/>
        </w:rPr>
        <w:t>5</w:t>
      </w:r>
    </w:p>
    <w:p w14:paraId="7A7FAF2B" w14:textId="792B1CE1" w:rsidR="0004505C" w:rsidRPr="005E7DF6" w:rsidRDefault="0004505C" w:rsidP="00DA689E">
      <w:pPr>
        <w:jc w:val="both"/>
        <w:rPr>
          <w:rFonts w:ascii="IBM Plex Sans Light" w:hAnsi="IBM Plex Sans Light"/>
          <w:lang w:eastAsia="x-none"/>
        </w:rPr>
      </w:pPr>
      <w:r w:rsidRPr="005E7DF6">
        <w:rPr>
          <w:rFonts w:ascii="IBM Plex Sans Light" w:hAnsi="IBM Plex Sans Light"/>
          <w:lang w:eastAsia="x-none"/>
        </w:rPr>
        <w:t xml:space="preserve">Poniżą tabelę należy uzupełnić zgodnie z instrukcją podaną w przypisie </w:t>
      </w:r>
      <w:r w:rsidRPr="005E7DF6">
        <w:rPr>
          <w:rFonts w:ascii="IBM Plex Sans Light" w:hAnsi="IBM Plex Sans Light"/>
          <w:vertAlign w:val="superscript"/>
          <w:lang w:eastAsia="x-none"/>
        </w:rPr>
        <w:t>1</w:t>
      </w:r>
      <w:r w:rsidRPr="005E7DF6">
        <w:rPr>
          <w:rFonts w:ascii="IBM Plex Sans Light" w:hAnsi="IBM Plex Sans Light"/>
          <w:lang w:eastAsia="x-none"/>
        </w:rPr>
        <w:t xml:space="preserve"> oraz </w:t>
      </w:r>
      <w:r w:rsidRPr="005E7DF6">
        <w:rPr>
          <w:rFonts w:ascii="IBM Plex Sans Light" w:hAnsi="IBM Plex Sans Light"/>
          <w:vertAlign w:val="superscript"/>
          <w:lang w:eastAsia="x-none"/>
        </w:rPr>
        <w:t>5</w:t>
      </w:r>
      <w:r w:rsidRPr="005E7DF6">
        <w:rPr>
          <w:rFonts w:ascii="IBM Plex Sans Light" w:hAnsi="IBM Plex Sans Light"/>
          <w:lang w:eastAsia="x-none"/>
        </w:rPr>
        <w:t xml:space="preserve">, sumując dane Zgłoszeniodawcy oraz przedsiębiorstw partnerskich i/lub powiązanych. </w:t>
      </w:r>
    </w:p>
    <w:p w14:paraId="08295122" w14:textId="252F2A55" w:rsidR="0004505C" w:rsidRPr="005E7DF6" w:rsidRDefault="0004505C" w:rsidP="00DA689E">
      <w:pPr>
        <w:jc w:val="both"/>
        <w:rPr>
          <w:rFonts w:ascii="IBM Plex Sans Light" w:hAnsi="IBM Plex Sans Light"/>
          <w:lang w:eastAsia="x-none"/>
        </w:rPr>
      </w:pPr>
      <w:r w:rsidRPr="005E7DF6">
        <w:rPr>
          <w:rFonts w:ascii="IBM Plex Sans Light" w:hAnsi="IBM Plex Sans Light"/>
          <w:lang w:eastAsia="x-none"/>
        </w:rPr>
        <w:t xml:space="preserve">  </w:t>
      </w:r>
    </w:p>
    <w:p w14:paraId="630C7ED4" w14:textId="3755B927" w:rsidR="0004505C" w:rsidRPr="005E7DF6" w:rsidRDefault="0004505C" w:rsidP="00DA689E">
      <w:pPr>
        <w:jc w:val="both"/>
        <w:rPr>
          <w:rFonts w:ascii="IBM Plex Sans Light" w:hAnsi="IBM Plex Sans Light"/>
          <w:lang w:eastAsia="x-none"/>
        </w:rPr>
      </w:pPr>
      <w:r w:rsidRPr="005E7DF6">
        <w:rPr>
          <w:rFonts w:ascii="IBM Plex Sans Light" w:hAnsi="IBM Plex Sans Light"/>
          <w:lang w:eastAsia="x-none"/>
        </w:rPr>
        <w:t xml:space="preserve">W przypadku gdy przedsiębiorstwo spełnia definicje przedsiębiorstwa </w:t>
      </w:r>
      <w:r w:rsidRPr="005E7DF6">
        <w:rPr>
          <w:rFonts w:ascii="IBM Plex Sans Light" w:hAnsi="IBM Plex Sans Light"/>
          <w:b/>
          <w:bCs/>
          <w:lang w:eastAsia="x-none"/>
        </w:rPr>
        <w:t>samodzielnego</w:t>
      </w:r>
      <w:r w:rsidRPr="005E7DF6">
        <w:rPr>
          <w:rStyle w:val="Odwoanieprzypisukocowego"/>
          <w:rFonts w:ascii="IBM Plex Sans Light" w:hAnsi="IBM Plex Sans Light"/>
          <w:b/>
          <w:bCs/>
          <w:lang w:eastAsia="x-none"/>
        </w:rPr>
        <w:endnoteReference w:id="2"/>
      </w:r>
      <w:r w:rsidRPr="005E7DF6">
        <w:rPr>
          <w:rFonts w:ascii="IBM Plex Sans Light" w:hAnsi="IBM Plex Sans Light"/>
          <w:lang w:eastAsia="x-none"/>
        </w:rPr>
        <w:t>, w tabeli 1. należy powielić dane z tabeli 2. oraz nie wypełniać tabeli 3. oraz tabeli 4.</w:t>
      </w:r>
    </w:p>
    <w:p w14:paraId="53C0EFE5" w14:textId="6410E482" w:rsidR="0004505C" w:rsidRPr="005E7DF6" w:rsidRDefault="0004505C" w:rsidP="00DA689E">
      <w:pPr>
        <w:jc w:val="both"/>
        <w:rPr>
          <w:rFonts w:ascii="IBM Plex Sans Light" w:hAnsi="IBM Plex Sans Light"/>
          <w:lang w:eastAsia="x-none"/>
        </w:rPr>
      </w:pPr>
      <w:r w:rsidRPr="005E7DF6">
        <w:rPr>
          <w:rFonts w:ascii="IBM Plex Sans Light" w:hAnsi="IBM Plex Sans Light"/>
          <w:lang w:eastAsia="x-none"/>
        </w:rPr>
        <w:t xml:space="preserve">W przypadku gdy występują </w:t>
      </w:r>
      <w:r w:rsidRPr="005E7DF6">
        <w:rPr>
          <w:rFonts w:ascii="IBM Plex Sans Light" w:hAnsi="IBM Plex Sans Light"/>
          <w:b/>
          <w:bCs/>
          <w:lang w:eastAsia="x-none"/>
        </w:rPr>
        <w:t>powiązania z przedsiębiorstwami partnerskimi</w:t>
      </w:r>
      <w:r w:rsidRPr="005E7DF6">
        <w:rPr>
          <w:rStyle w:val="Odwoanieprzypisukocowego"/>
          <w:rFonts w:ascii="IBM Plex Sans Light" w:hAnsi="IBM Plex Sans Light"/>
          <w:b/>
          <w:bCs/>
          <w:lang w:eastAsia="x-none"/>
        </w:rPr>
        <w:endnoteReference w:id="3"/>
      </w:r>
      <w:r w:rsidRPr="005E7DF6">
        <w:rPr>
          <w:rFonts w:ascii="IBM Plex Sans Light" w:hAnsi="IBM Plex Sans Light"/>
          <w:lang w:eastAsia="x-none"/>
        </w:rPr>
        <w:t xml:space="preserve"> należy wypełnić tabelę 3. danymi przedsiębiorstw/-a partnerskiego/-</w:t>
      </w:r>
      <w:proofErr w:type="spellStart"/>
      <w:r w:rsidRPr="005E7DF6">
        <w:rPr>
          <w:rFonts w:ascii="IBM Plex Sans Light" w:hAnsi="IBM Plex Sans Light"/>
          <w:lang w:eastAsia="x-none"/>
        </w:rPr>
        <w:t>ch</w:t>
      </w:r>
      <w:proofErr w:type="spellEnd"/>
      <w:r w:rsidRPr="005E7DF6">
        <w:rPr>
          <w:rFonts w:ascii="IBM Plex Sans Light" w:hAnsi="IBM Plex Sans Light"/>
          <w:lang w:eastAsia="x-none"/>
        </w:rPr>
        <w:t xml:space="preserve"> (gdy występuje więcej niż 1 przedsiębiorstwo tabelę należy powielić).</w:t>
      </w:r>
    </w:p>
    <w:p w14:paraId="2959BCD5" w14:textId="6F7D387B" w:rsidR="0004505C" w:rsidRPr="005E7DF6" w:rsidRDefault="0004505C" w:rsidP="00752B39">
      <w:pPr>
        <w:jc w:val="both"/>
        <w:rPr>
          <w:rFonts w:ascii="IBM Plex Sans Light" w:hAnsi="IBM Plex Sans Light"/>
          <w:lang w:eastAsia="x-none"/>
        </w:rPr>
      </w:pPr>
      <w:r w:rsidRPr="005E7DF6">
        <w:rPr>
          <w:rFonts w:ascii="IBM Plex Sans Light" w:hAnsi="IBM Plex Sans Light"/>
          <w:lang w:eastAsia="x-none"/>
        </w:rPr>
        <w:t xml:space="preserve">W przypadku gdy występują </w:t>
      </w:r>
      <w:r w:rsidRPr="005E7DF6">
        <w:rPr>
          <w:rFonts w:ascii="IBM Plex Sans Light" w:hAnsi="IBM Plex Sans Light"/>
          <w:b/>
          <w:bCs/>
          <w:lang w:eastAsia="x-none"/>
        </w:rPr>
        <w:t>powiązania z przedsiębiorstwami powiązanymi</w:t>
      </w:r>
      <w:r w:rsidRPr="005E7DF6">
        <w:rPr>
          <w:rStyle w:val="Odwoanieprzypisukocowego"/>
          <w:rFonts w:ascii="IBM Plex Sans Light" w:hAnsi="IBM Plex Sans Light"/>
          <w:b/>
          <w:bCs/>
          <w:lang w:eastAsia="x-none"/>
        </w:rPr>
        <w:endnoteReference w:id="4"/>
      </w:r>
      <w:r w:rsidRPr="005E7DF6">
        <w:rPr>
          <w:rFonts w:ascii="IBM Plex Sans Light" w:hAnsi="IBM Plex Sans Light"/>
          <w:lang w:eastAsia="x-none"/>
        </w:rPr>
        <w:t xml:space="preserve"> należy wypełnić tabelę 4. danymi przedsiębiorstw/-a powiązanego/-</w:t>
      </w:r>
      <w:proofErr w:type="spellStart"/>
      <w:r w:rsidRPr="005E7DF6">
        <w:rPr>
          <w:rFonts w:ascii="IBM Plex Sans Light" w:hAnsi="IBM Plex Sans Light"/>
          <w:lang w:eastAsia="x-none"/>
        </w:rPr>
        <w:t>ch</w:t>
      </w:r>
      <w:proofErr w:type="spellEnd"/>
      <w:r w:rsidRPr="005E7DF6">
        <w:rPr>
          <w:rFonts w:ascii="IBM Plex Sans Light" w:hAnsi="IBM Plex Sans Light"/>
          <w:lang w:eastAsia="x-none"/>
        </w:rPr>
        <w:t xml:space="preserve"> (gdy występuje więcej niż 1 przedsiębiorstwo tabelę należy powielić).</w:t>
      </w:r>
    </w:p>
    <w:p w14:paraId="74D1A060" w14:textId="77777777" w:rsidR="0004505C" w:rsidRPr="005E7DF6" w:rsidRDefault="0004505C" w:rsidP="00DA689E">
      <w:pPr>
        <w:jc w:val="both"/>
        <w:rPr>
          <w:rFonts w:ascii="IBM Plex Sans Light" w:hAnsi="IBM Plex Sans Light"/>
          <w:lang w:eastAsia="x-none"/>
        </w:rPr>
      </w:pPr>
    </w:p>
    <w:p w14:paraId="1CDDBBAE" w14:textId="5F8EA0BB" w:rsidR="0004505C" w:rsidRPr="003B109D" w:rsidRDefault="0004505C" w:rsidP="00DA689E">
      <w:pPr>
        <w:jc w:val="both"/>
        <w:rPr>
          <w:rFonts w:ascii="IBM Plex Sans Light" w:hAnsi="IBM Plex Sans Light"/>
          <w:b/>
          <w:bCs/>
          <w:lang w:eastAsia="x-none"/>
        </w:rPr>
      </w:pPr>
      <w:r w:rsidRPr="005E7DF6">
        <w:rPr>
          <w:rFonts w:ascii="IBM Plex Sans Light" w:hAnsi="IBM Plex Sans Light"/>
          <w:b/>
          <w:bCs/>
          <w:lang w:eastAsia="x-none"/>
        </w:rPr>
        <w:t>Tabela 1. DANE SKUMULOWANE</w:t>
      </w:r>
      <w:r w:rsidRPr="005E7DF6">
        <w:rPr>
          <w:rStyle w:val="Odwoanieprzypisukocowego"/>
          <w:rFonts w:ascii="IBM Plex Sans Light" w:hAnsi="IBM Plex Sans Light"/>
          <w:b/>
          <w:bCs/>
          <w:lang w:eastAsia="x-none"/>
        </w:rPr>
        <w:endnoteReference w:id="5"/>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134"/>
        <w:gridCol w:w="680"/>
        <w:gridCol w:w="1701"/>
        <w:gridCol w:w="1701"/>
      </w:tblGrid>
      <w:tr w:rsidR="008B4038" w:rsidRPr="005E7DF6" w14:paraId="1B138EC5" w14:textId="77777777" w:rsidTr="00B23957">
        <w:trPr>
          <w:trHeight w:val="284"/>
        </w:trPr>
        <w:tc>
          <w:tcPr>
            <w:tcW w:w="4248" w:type="dxa"/>
            <w:shd w:val="clear" w:color="auto" w:fill="BFBFBF" w:themeFill="background1" w:themeFillShade="BF"/>
            <w:vAlign w:val="center"/>
          </w:tcPr>
          <w:p w14:paraId="59D6D5D0" w14:textId="77777777" w:rsidR="008B4038" w:rsidRPr="005E7DF6" w:rsidRDefault="008B4038" w:rsidP="00B23957">
            <w:pPr>
              <w:spacing w:before="120" w:after="120"/>
              <w:rPr>
                <w:rFonts w:ascii="IBM Plex Sans Light" w:eastAsia="Calibri" w:hAnsi="IBM Plex Sans Light"/>
                <w:b/>
                <w:lang w:eastAsia="x-none"/>
              </w:rPr>
            </w:pPr>
            <w:r w:rsidRPr="005E7DF6">
              <w:rPr>
                <w:rFonts w:ascii="IBM Plex Sans Light" w:eastAsia="Calibri" w:hAnsi="IBM Plex Sans Light"/>
                <w:b/>
                <w:lang w:eastAsia="x-none"/>
              </w:rPr>
              <w:t xml:space="preserve">1. Zgłoszeniodawca </w:t>
            </w:r>
          </w:p>
        </w:tc>
        <w:tc>
          <w:tcPr>
            <w:tcW w:w="5216" w:type="dxa"/>
            <w:gridSpan w:val="4"/>
            <w:shd w:val="clear" w:color="auto" w:fill="auto"/>
            <w:vAlign w:val="center"/>
          </w:tcPr>
          <w:p w14:paraId="30BE9980" w14:textId="1D18C1FD" w:rsidR="008B4038" w:rsidRPr="005E7DF6" w:rsidRDefault="008B4038" w:rsidP="00B23957">
            <w:pPr>
              <w:spacing w:before="120" w:after="120"/>
              <w:rPr>
                <w:rFonts w:ascii="IBM Plex Sans Light" w:eastAsia="Calibri" w:hAnsi="IBM Plex Sans Light"/>
                <w:b/>
                <w:lang w:eastAsia="x-none"/>
              </w:rPr>
            </w:pPr>
          </w:p>
        </w:tc>
      </w:tr>
      <w:tr w:rsidR="0004505C" w:rsidRPr="005E7DF6" w14:paraId="31B556E6" w14:textId="77777777" w:rsidTr="006725CE">
        <w:trPr>
          <w:trHeight w:val="145"/>
        </w:trPr>
        <w:tc>
          <w:tcPr>
            <w:tcW w:w="4248" w:type="dxa"/>
            <w:shd w:val="clear" w:color="auto" w:fill="BFBFBF" w:themeFill="background1" w:themeFillShade="BF"/>
            <w:vAlign w:val="center"/>
          </w:tcPr>
          <w:p w14:paraId="5858CD6E" w14:textId="43D05E29" w:rsidR="0004505C" w:rsidRPr="005E7DF6" w:rsidRDefault="0004505C" w:rsidP="00B23957">
            <w:pPr>
              <w:spacing w:before="120" w:after="120"/>
              <w:rPr>
                <w:rFonts w:ascii="IBM Plex Sans Light" w:eastAsia="Calibri" w:hAnsi="IBM Plex Sans Light"/>
                <w:lang w:eastAsia="x-none"/>
              </w:rPr>
            </w:pPr>
            <w:r w:rsidRPr="005E7DF6">
              <w:rPr>
                <w:rFonts w:ascii="IBM Plex Sans Light" w:eastAsia="Calibri" w:hAnsi="IBM Plex Sans Light"/>
                <w:b/>
                <w:lang w:eastAsia="x-none"/>
              </w:rPr>
              <w:t>2. Data rozpoczęcia działalności Wnioskodawcy</w:t>
            </w:r>
            <w:r w:rsidRPr="005E7DF6">
              <w:rPr>
                <w:rFonts w:ascii="IBM Plex Sans Light" w:eastAsia="Calibri" w:hAnsi="IBM Plex Sans Light"/>
                <w:lang w:eastAsia="x-none"/>
              </w:rPr>
              <w:t xml:space="preserve"> </w:t>
            </w:r>
            <w:r w:rsidRPr="005E7DF6">
              <w:rPr>
                <w:rFonts w:ascii="IBM Plex Sans Light" w:eastAsia="Calibri" w:hAnsi="IBM Plex Sans Light"/>
                <w:i/>
                <w:sz w:val="20"/>
                <w:szCs w:val="20"/>
                <w:lang w:eastAsia="x-none"/>
              </w:rPr>
              <w:t>(</w:t>
            </w:r>
            <w:r w:rsidR="00FD0214" w:rsidRPr="005E7DF6">
              <w:rPr>
                <w:rFonts w:ascii="IBM Plex Sans Light" w:eastAsia="Calibri" w:hAnsi="IBM Plex Sans Light"/>
                <w:i/>
                <w:sz w:val="20"/>
                <w:szCs w:val="20"/>
                <w:lang w:eastAsia="x-none"/>
              </w:rPr>
              <w:t>dzień/</w:t>
            </w:r>
            <w:r w:rsidRPr="005E7DF6">
              <w:rPr>
                <w:rFonts w:ascii="IBM Plex Sans Light" w:eastAsia="Calibri" w:hAnsi="IBM Plex Sans Light"/>
                <w:i/>
                <w:sz w:val="20"/>
                <w:szCs w:val="20"/>
                <w:lang w:eastAsia="x-none"/>
              </w:rPr>
              <w:t>miesiąc/rok)</w:t>
            </w:r>
          </w:p>
        </w:tc>
        <w:tc>
          <w:tcPr>
            <w:tcW w:w="5216" w:type="dxa"/>
            <w:gridSpan w:val="4"/>
            <w:shd w:val="clear" w:color="auto" w:fill="auto"/>
            <w:vAlign w:val="center"/>
          </w:tcPr>
          <w:p w14:paraId="61CDDD72" w14:textId="09CEBE3C" w:rsidR="0004505C" w:rsidRPr="005E7DF6" w:rsidRDefault="0004505C" w:rsidP="00B23957">
            <w:pPr>
              <w:spacing w:before="120" w:after="120"/>
              <w:rPr>
                <w:rFonts w:ascii="IBM Plex Sans Light" w:eastAsia="Calibri" w:hAnsi="IBM Plex Sans Light"/>
                <w:lang w:eastAsia="x-none"/>
              </w:rPr>
            </w:pPr>
          </w:p>
        </w:tc>
      </w:tr>
      <w:tr w:rsidR="0004505C" w:rsidRPr="005E7DF6" w14:paraId="768178AE" w14:textId="77777777" w:rsidTr="006725CE">
        <w:trPr>
          <w:trHeight w:val="585"/>
        </w:trPr>
        <w:tc>
          <w:tcPr>
            <w:tcW w:w="4248" w:type="dxa"/>
            <w:vMerge w:val="restart"/>
            <w:shd w:val="clear" w:color="auto" w:fill="BFBFBF" w:themeFill="background1" w:themeFillShade="BF"/>
            <w:vAlign w:val="center"/>
          </w:tcPr>
          <w:p w14:paraId="14D39265" w14:textId="77777777" w:rsidR="0004505C" w:rsidRPr="005E7DF6" w:rsidRDefault="0004505C" w:rsidP="00737B74">
            <w:pPr>
              <w:spacing w:before="120" w:after="120"/>
              <w:rPr>
                <w:rFonts w:ascii="IBM Plex Sans Light" w:eastAsia="Calibri" w:hAnsi="IBM Plex Sans Light"/>
                <w:vertAlign w:val="superscript"/>
              </w:rPr>
            </w:pPr>
            <w:r w:rsidRPr="005E7DF6">
              <w:rPr>
                <w:rFonts w:ascii="IBM Plex Sans Light" w:eastAsia="Calibri" w:hAnsi="IBM Plex Sans Light"/>
                <w:b/>
                <w:bCs/>
              </w:rPr>
              <w:t>3.</w:t>
            </w:r>
            <w:r w:rsidRPr="005E7DF6">
              <w:rPr>
                <w:rFonts w:ascii="IBM Plex Sans Light" w:eastAsia="Calibri" w:hAnsi="IBM Plex Sans Light"/>
              </w:rPr>
              <w:t xml:space="preserve"> </w:t>
            </w:r>
            <w:r w:rsidRPr="005E7DF6">
              <w:rPr>
                <w:rFonts w:ascii="IBM Plex Sans Light" w:eastAsia="Calibri" w:hAnsi="IBM Plex Sans Light"/>
                <w:b/>
                <w:bCs/>
              </w:rPr>
              <w:t>Jest przedsiębiorstwem samodzielnym/ niezależnym</w:t>
            </w:r>
            <w:r w:rsidRPr="005E7DF6">
              <w:rPr>
                <w:rFonts w:ascii="IBM Plex Sans Light" w:eastAsia="Calibri" w:hAnsi="IBM Plex Sans Light"/>
                <w:b/>
                <w:bCs/>
                <w:vertAlign w:val="superscript"/>
              </w:rPr>
              <w:t>2</w:t>
            </w:r>
          </w:p>
          <w:p w14:paraId="13A3E231" w14:textId="3E0FD0D1" w:rsidR="0004505C" w:rsidRPr="005E7DF6" w:rsidRDefault="0004505C" w:rsidP="00737B74">
            <w:pPr>
              <w:spacing w:before="120" w:after="120"/>
              <w:rPr>
                <w:rFonts w:ascii="IBM Plex Sans Light" w:eastAsia="Calibri" w:hAnsi="IBM Plex Sans Light"/>
              </w:rPr>
            </w:pPr>
          </w:p>
        </w:tc>
        <w:tc>
          <w:tcPr>
            <w:tcW w:w="1134" w:type="dxa"/>
            <w:shd w:val="clear" w:color="auto" w:fill="auto"/>
            <w:vAlign w:val="center"/>
          </w:tcPr>
          <w:p w14:paraId="19DB1069" w14:textId="04115833" w:rsidR="0004505C" w:rsidRPr="005E7DF6" w:rsidRDefault="0004505C" w:rsidP="00737B74">
            <w:pPr>
              <w:spacing w:before="120" w:after="120"/>
              <w:rPr>
                <w:rFonts w:ascii="IBM Plex Sans Light" w:eastAsia="Calibri" w:hAnsi="IBM Plex Sans Light"/>
                <w:noProof/>
              </w:rPr>
            </w:pPr>
          </w:p>
        </w:tc>
        <w:tc>
          <w:tcPr>
            <w:tcW w:w="4082" w:type="dxa"/>
            <w:gridSpan w:val="3"/>
            <w:shd w:val="clear" w:color="auto" w:fill="BFBFBF" w:themeFill="background1" w:themeFillShade="BF"/>
            <w:vAlign w:val="center"/>
          </w:tcPr>
          <w:p w14:paraId="11293FCE" w14:textId="65DC277B" w:rsidR="0004505C" w:rsidRPr="005E7DF6" w:rsidRDefault="0004505C" w:rsidP="00737B74">
            <w:pPr>
              <w:spacing w:before="120" w:after="120"/>
              <w:rPr>
                <w:rFonts w:ascii="IBM Plex Sans Light" w:eastAsia="Calibri" w:hAnsi="IBM Plex Sans Light"/>
                <w:b/>
                <w:bCs/>
                <w:noProof/>
              </w:rPr>
            </w:pPr>
            <w:r w:rsidRPr="005E7DF6">
              <w:rPr>
                <w:rFonts w:ascii="IBM Plex Sans Light" w:eastAsia="Calibri" w:hAnsi="IBM Plex Sans Light"/>
                <w:b/>
                <w:bCs/>
                <w:noProof/>
              </w:rPr>
              <w:t>TAK</w:t>
            </w:r>
          </w:p>
        </w:tc>
      </w:tr>
      <w:tr w:rsidR="0004505C" w:rsidRPr="005E7DF6" w14:paraId="1183318F" w14:textId="77777777" w:rsidTr="006725CE">
        <w:trPr>
          <w:trHeight w:val="585"/>
        </w:trPr>
        <w:tc>
          <w:tcPr>
            <w:tcW w:w="4248" w:type="dxa"/>
            <w:vMerge/>
            <w:shd w:val="clear" w:color="auto" w:fill="BFBFBF" w:themeFill="background1" w:themeFillShade="BF"/>
            <w:vAlign w:val="center"/>
          </w:tcPr>
          <w:p w14:paraId="5E159243" w14:textId="77777777" w:rsidR="0004505C" w:rsidRPr="005E7DF6" w:rsidRDefault="0004505C" w:rsidP="00737B74">
            <w:pPr>
              <w:spacing w:before="120" w:after="120"/>
              <w:rPr>
                <w:rFonts w:ascii="IBM Plex Sans Light" w:eastAsia="Calibri" w:hAnsi="IBM Plex Sans Light"/>
                <w:b/>
                <w:bCs/>
              </w:rPr>
            </w:pPr>
          </w:p>
        </w:tc>
        <w:tc>
          <w:tcPr>
            <w:tcW w:w="1134" w:type="dxa"/>
            <w:shd w:val="clear" w:color="auto" w:fill="auto"/>
            <w:vAlign w:val="center"/>
          </w:tcPr>
          <w:p w14:paraId="3FF9715C" w14:textId="77777777" w:rsidR="0004505C" w:rsidRPr="005E7DF6" w:rsidRDefault="0004505C" w:rsidP="00737B74">
            <w:pPr>
              <w:spacing w:before="120" w:after="120"/>
              <w:rPr>
                <w:rFonts w:ascii="IBM Plex Sans Light" w:eastAsia="Calibri" w:hAnsi="IBM Plex Sans Light"/>
                <w:noProof/>
              </w:rPr>
            </w:pPr>
          </w:p>
        </w:tc>
        <w:tc>
          <w:tcPr>
            <w:tcW w:w="4082" w:type="dxa"/>
            <w:gridSpan w:val="3"/>
            <w:shd w:val="clear" w:color="auto" w:fill="BFBFBF" w:themeFill="background1" w:themeFillShade="BF"/>
            <w:vAlign w:val="center"/>
          </w:tcPr>
          <w:p w14:paraId="7C98EB2E" w14:textId="3C0E408A" w:rsidR="0004505C" w:rsidRPr="005E7DF6" w:rsidRDefault="0004505C" w:rsidP="00737B74">
            <w:pPr>
              <w:spacing w:before="120" w:after="120"/>
              <w:rPr>
                <w:rFonts w:ascii="IBM Plex Sans Light" w:eastAsia="Calibri" w:hAnsi="IBM Plex Sans Light"/>
                <w:b/>
                <w:bCs/>
                <w:noProof/>
              </w:rPr>
            </w:pPr>
            <w:r w:rsidRPr="005E7DF6">
              <w:rPr>
                <w:rFonts w:ascii="IBM Plex Sans Light" w:eastAsia="Calibri" w:hAnsi="IBM Plex Sans Light"/>
                <w:b/>
                <w:bCs/>
                <w:noProof/>
              </w:rPr>
              <w:t>NIE</w:t>
            </w:r>
          </w:p>
        </w:tc>
      </w:tr>
      <w:tr w:rsidR="0004505C" w:rsidRPr="005E7DF6" w14:paraId="46588359" w14:textId="77777777" w:rsidTr="006725CE">
        <w:trPr>
          <w:trHeight w:val="284"/>
        </w:trPr>
        <w:tc>
          <w:tcPr>
            <w:tcW w:w="4248" w:type="dxa"/>
            <w:shd w:val="clear" w:color="auto" w:fill="BFBFBF" w:themeFill="background1" w:themeFillShade="BF"/>
            <w:vAlign w:val="center"/>
          </w:tcPr>
          <w:p w14:paraId="5FFFA9EA" w14:textId="77777777" w:rsidR="0004505C" w:rsidRPr="005E7DF6" w:rsidRDefault="0004505C" w:rsidP="006725CE">
            <w:pPr>
              <w:rPr>
                <w:rFonts w:ascii="IBM Plex Sans Light" w:eastAsia="Calibri" w:hAnsi="IBM Plex Sans Light"/>
              </w:rPr>
            </w:pPr>
            <w:r w:rsidRPr="005E7DF6">
              <w:rPr>
                <w:rFonts w:ascii="IBM Plex Sans Light" w:eastAsia="Calibri" w:hAnsi="IBM Plex Sans Light"/>
                <w:b/>
                <w:bCs/>
              </w:rPr>
              <w:t>4. Pozostaje w relacji przedsiębiorstw/ podmiotów partnerskich</w:t>
            </w:r>
            <w:r w:rsidRPr="005E7DF6">
              <w:rPr>
                <w:rFonts w:ascii="IBM Plex Sans Light" w:eastAsia="Calibri" w:hAnsi="IBM Plex Sans Light"/>
                <w:b/>
                <w:bCs/>
                <w:vertAlign w:val="superscript"/>
              </w:rPr>
              <w:t>3</w:t>
            </w:r>
            <w:r w:rsidRPr="005E7DF6">
              <w:rPr>
                <w:rFonts w:ascii="IBM Plex Sans Light" w:eastAsia="Calibri" w:hAnsi="IBM Plex Sans Light"/>
                <w:b/>
                <w:bCs/>
              </w:rPr>
              <w:t xml:space="preserve"> z:</w:t>
            </w:r>
          </w:p>
          <w:p w14:paraId="60C48AA7" w14:textId="3B6338C2" w:rsidR="0004505C" w:rsidRPr="005E7DF6" w:rsidRDefault="0004505C" w:rsidP="006725CE">
            <w:pPr>
              <w:rPr>
                <w:rFonts w:ascii="IBM Plex Sans Light" w:eastAsia="Calibri" w:hAnsi="IBM Plex Sans Light"/>
                <w:i/>
                <w:iCs/>
                <w:sz w:val="20"/>
                <w:szCs w:val="20"/>
              </w:rPr>
            </w:pPr>
            <w:r w:rsidRPr="005E7DF6">
              <w:rPr>
                <w:rFonts w:ascii="IBM Plex Sans Light" w:eastAsia="Calibri" w:hAnsi="IBM Plex Sans Light"/>
                <w:i/>
                <w:iCs/>
                <w:sz w:val="20"/>
                <w:szCs w:val="20"/>
              </w:rPr>
              <w:t>(należy podać nazwy każdego przedsiębiorstwa/ podmiotu partnerskiego)</w:t>
            </w:r>
          </w:p>
        </w:tc>
        <w:tc>
          <w:tcPr>
            <w:tcW w:w="5216" w:type="dxa"/>
            <w:gridSpan w:val="4"/>
            <w:shd w:val="clear" w:color="auto" w:fill="auto"/>
            <w:vAlign w:val="center"/>
          </w:tcPr>
          <w:p w14:paraId="6F0822CC" w14:textId="77777777" w:rsidR="0004505C" w:rsidRPr="005E7DF6" w:rsidRDefault="0004505C" w:rsidP="006725CE">
            <w:pPr>
              <w:rPr>
                <w:rFonts w:ascii="IBM Plex Sans Light" w:eastAsia="Calibri" w:hAnsi="IBM Plex Sans Light"/>
                <w:lang w:eastAsia="x-none"/>
              </w:rPr>
            </w:pPr>
            <w:r w:rsidRPr="005E7DF6">
              <w:rPr>
                <w:rFonts w:ascii="IBM Plex Sans Light" w:eastAsia="Calibri" w:hAnsi="IBM Plex Sans Light"/>
                <w:lang w:eastAsia="x-none"/>
              </w:rPr>
              <w:t>1.</w:t>
            </w:r>
          </w:p>
          <w:p w14:paraId="262BEF29" w14:textId="77777777" w:rsidR="0004505C" w:rsidRPr="005E7DF6" w:rsidRDefault="0004505C" w:rsidP="006725CE">
            <w:pPr>
              <w:rPr>
                <w:rFonts w:ascii="IBM Plex Sans Light" w:eastAsia="Calibri" w:hAnsi="IBM Plex Sans Light"/>
                <w:lang w:eastAsia="x-none"/>
              </w:rPr>
            </w:pPr>
          </w:p>
          <w:p w14:paraId="7E82C5E4" w14:textId="77777777" w:rsidR="0004505C" w:rsidRPr="005E7DF6" w:rsidRDefault="0004505C" w:rsidP="006725CE">
            <w:pPr>
              <w:rPr>
                <w:rFonts w:ascii="IBM Plex Sans Light" w:eastAsia="Calibri" w:hAnsi="IBM Plex Sans Light"/>
                <w:lang w:eastAsia="x-none"/>
              </w:rPr>
            </w:pPr>
            <w:r w:rsidRPr="005E7DF6">
              <w:rPr>
                <w:rFonts w:ascii="IBM Plex Sans Light" w:eastAsia="Calibri" w:hAnsi="IBM Plex Sans Light"/>
                <w:lang w:eastAsia="x-none"/>
              </w:rPr>
              <w:t>2.</w:t>
            </w:r>
          </w:p>
          <w:p w14:paraId="242BFB68" w14:textId="1D0F2635" w:rsidR="0004505C" w:rsidRPr="005E7DF6" w:rsidRDefault="0004505C" w:rsidP="006725CE">
            <w:pPr>
              <w:rPr>
                <w:rFonts w:ascii="IBM Plex Sans Light" w:eastAsia="Calibri" w:hAnsi="IBM Plex Sans Light"/>
                <w:lang w:eastAsia="x-none"/>
              </w:rPr>
            </w:pPr>
          </w:p>
        </w:tc>
      </w:tr>
      <w:tr w:rsidR="0004505C" w:rsidRPr="005E7DF6" w14:paraId="5DE52091" w14:textId="77777777" w:rsidTr="006725CE">
        <w:trPr>
          <w:trHeight w:val="284"/>
        </w:trPr>
        <w:tc>
          <w:tcPr>
            <w:tcW w:w="4248" w:type="dxa"/>
            <w:shd w:val="clear" w:color="auto" w:fill="BFBFBF" w:themeFill="background1" w:themeFillShade="BF"/>
            <w:vAlign w:val="center"/>
          </w:tcPr>
          <w:p w14:paraId="4CB3BA82" w14:textId="77777777" w:rsidR="0004505C" w:rsidRPr="005E7DF6" w:rsidRDefault="0004505C" w:rsidP="006725CE">
            <w:pPr>
              <w:rPr>
                <w:rFonts w:ascii="IBM Plex Sans Light" w:eastAsia="Calibri" w:hAnsi="IBM Plex Sans Light"/>
              </w:rPr>
            </w:pPr>
            <w:r w:rsidRPr="005E7DF6">
              <w:rPr>
                <w:rFonts w:ascii="IBM Plex Sans Light" w:eastAsia="Calibri" w:hAnsi="IBM Plex Sans Light"/>
                <w:b/>
                <w:bCs/>
              </w:rPr>
              <w:t>5.</w:t>
            </w:r>
            <w:r w:rsidRPr="005E7DF6">
              <w:rPr>
                <w:rFonts w:ascii="IBM Plex Sans Light" w:eastAsia="Calibri" w:hAnsi="IBM Plex Sans Light"/>
              </w:rPr>
              <w:t xml:space="preserve"> </w:t>
            </w:r>
            <w:r w:rsidRPr="005E7DF6">
              <w:rPr>
                <w:rFonts w:ascii="IBM Plex Sans Light" w:eastAsia="Calibri" w:hAnsi="IBM Plex Sans Light"/>
                <w:b/>
                <w:bCs/>
              </w:rPr>
              <w:t>Pozostaje w relacji przedsiębiorstw/ podmiotów powiązanych</w:t>
            </w:r>
            <w:r w:rsidRPr="005E7DF6">
              <w:rPr>
                <w:rFonts w:ascii="IBM Plex Sans Light" w:eastAsia="Calibri" w:hAnsi="IBM Plex Sans Light"/>
                <w:b/>
                <w:bCs/>
                <w:vertAlign w:val="superscript"/>
              </w:rPr>
              <w:t>4</w:t>
            </w:r>
            <w:r w:rsidRPr="005E7DF6">
              <w:rPr>
                <w:rFonts w:ascii="IBM Plex Sans Light" w:eastAsia="Calibri" w:hAnsi="IBM Plex Sans Light"/>
                <w:b/>
                <w:bCs/>
              </w:rPr>
              <w:t xml:space="preserve"> z</w:t>
            </w:r>
            <w:r w:rsidRPr="005E7DF6">
              <w:rPr>
                <w:rFonts w:ascii="IBM Plex Sans Light" w:eastAsia="Calibri" w:hAnsi="IBM Plex Sans Light"/>
              </w:rPr>
              <w:t>:</w:t>
            </w:r>
          </w:p>
          <w:p w14:paraId="552D8D31" w14:textId="3DB3F24D" w:rsidR="0004505C" w:rsidRPr="005E7DF6" w:rsidRDefault="0004505C" w:rsidP="006725CE">
            <w:pPr>
              <w:rPr>
                <w:rFonts w:ascii="IBM Plex Sans Light" w:eastAsia="Calibri" w:hAnsi="IBM Plex Sans Light"/>
                <w:i/>
                <w:iCs/>
                <w:sz w:val="20"/>
                <w:szCs w:val="20"/>
              </w:rPr>
            </w:pPr>
            <w:r w:rsidRPr="005E7DF6">
              <w:rPr>
                <w:rFonts w:ascii="IBM Plex Sans Light" w:eastAsia="Calibri" w:hAnsi="IBM Plex Sans Light"/>
                <w:i/>
                <w:iCs/>
                <w:sz w:val="20"/>
                <w:szCs w:val="20"/>
              </w:rPr>
              <w:t xml:space="preserve">(należy podać nazwy każdego </w:t>
            </w:r>
            <w:r w:rsidR="00737B74" w:rsidRPr="005E7DF6">
              <w:rPr>
                <w:rFonts w:ascii="IBM Plex Sans Light" w:eastAsia="Calibri" w:hAnsi="IBM Plex Sans Light"/>
                <w:i/>
                <w:iCs/>
                <w:sz w:val="20"/>
                <w:szCs w:val="20"/>
              </w:rPr>
              <w:t>p</w:t>
            </w:r>
            <w:r w:rsidRPr="005E7DF6">
              <w:rPr>
                <w:rFonts w:ascii="IBM Plex Sans Light" w:eastAsia="Calibri" w:hAnsi="IBM Plex Sans Light"/>
                <w:i/>
                <w:iCs/>
                <w:sz w:val="20"/>
                <w:szCs w:val="20"/>
              </w:rPr>
              <w:t>rzedsiębiorstwa / podmiotu powiązanego)</w:t>
            </w:r>
          </w:p>
        </w:tc>
        <w:tc>
          <w:tcPr>
            <w:tcW w:w="5216" w:type="dxa"/>
            <w:gridSpan w:val="4"/>
            <w:shd w:val="clear" w:color="auto" w:fill="auto"/>
            <w:vAlign w:val="center"/>
          </w:tcPr>
          <w:p w14:paraId="4F8E7055" w14:textId="77777777" w:rsidR="0004505C" w:rsidRPr="005E7DF6" w:rsidRDefault="0004505C" w:rsidP="006725CE">
            <w:pPr>
              <w:rPr>
                <w:rFonts w:ascii="IBM Plex Sans Light" w:eastAsia="Calibri" w:hAnsi="IBM Plex Sans Light"/>
                <w:lang w:eastAsia="x-none"/>
              </w:rPr>
            </w:pPr>
            <w:r w:rsidRPr="005E7DF6">
              <w:rPr>
                <w:rFonts w:ascii="IBM Plex Sans Light" w:eastAsia="Calibri" w:hAnsi="IBM Plex Sans Light"/>
                <w:lang w:eastAsia="x-none"/>
              </w:rPr>
              <w:t>1.</w:t>
            </w:r>
          </w:p>
          <w:p w14:paraId="26785D6C" w14:textId="77777777" w:rsidR="0004505C" w:rsidRPr="005E7DF6" w:rsidRDefault="0004505C" w:rsidP="006725CE">
            <w:pPr>
              <w:rPr>
                <w:rFonts w:ascii="IBM Plex Sans Light" w:eastAsia="Calibri" w:hAnsi="IBM Plex Sans Light"/>
                <w:lang w:eastAsia="x-none"/>
              </w:rPr>
            </w:pPr>
          </w:p>
          <w:p w14:paraId="4F467AE2" w14:textId="6CA8D29A" w:rsidR="0004505C" w:rsidRPr="005E7DF6" w:rsidRDefault="0004505C" w:rsidP="006725CE">
            <w:pPr>
              <w:rPr>
                <w:rFonts w:ascii="IBM Plex Sans Light" w:eastAsia="Calibri" w:hAnsi="IBM Plex Sans Light"/>
                <w:lang w:eastAsia="x-none"/>
              </w:rPr>
            </w:pPr>
            <w:r w:rsidRPr="005E7DF6">
              <w:rPr>
                <w:rFonts w:ascii="IBM Plex Sans Light" w:eastAsia="Calibri" w:hAnsi="IBM Plex Sans Light"/>
                <w:lang w:eastAsia="x-none"/>
              </w:rPr>
              <w:t>2.</w:t>
            </w:r>
          </w:p>
        </w:tc>
      </w:tr>
      <w:tr w:rsidR="005D175A" w:rsidRPr="005E7DF6" w14:paraId="2025C424" w14:textId="77777777" w:rsidTr="0004505C">
        <w:trPr>
          <w:trHeight w:val="282"/>
        </w:trPr>
        <w:tc>
          <w:tcPr>
            <w:tcW w:w="4248" w:type="dxa"/>
            <w:shd w:val="clear" w:color="auto" w:fill="BFBFBF" w:themeFill="background1" w:themeFillShade="BF"/>
          </w:tcPr>
          <w:p w14:paraId="3A1F4D2B" w14:textId="27BC20F9" w:rsidR="005D175A" w:rsidRPr="005E7DF6" w:rsidRDefault="005D175A" w:rsidP="005D175A">
            <w:pPr>
              <w:jc w:val="both"/>
              <w:rPr>
                <w:rFonts w:ascii="IBM Plex Sans Light" w:eastAsia="Calibri" w:hAnsi="IBM Plex Sans Light"/>
                <w:vertAlign w:val="superscript"/>
                <w:lang w:eastAsia="x-none"/>
              </w:rPr>
            </w:pPr>
            <w:r w:rsidRPr="005E7DF6">
              <w:rPr>
                <w:rFonts w:ascii="IBM Plex Sans Light" w:eastAsia="Calibri" w:hAnsi="IBM Plex Sans Light"/>
                <w:b/>
                <w:bCs/>
              </w:rPr>
              <w:t>Dane stosowane do określenia statusu przedsiębiorstwa</w:t>
            </w:r>
          </w:p>
        </w:tc>
        <w:tc>
          <w:tcPr>
            <w:tcW w:w="1814" w:type="dxa"/>
            <w:gridSpan w:val="2"/>
            <w:shd w:val="clear" w:color="auto" w:fill="BFBFBF" w:themeFill="background1" w:themeFillShade="BF"/>
            <w:vAlign w:val="center"/>
          </w:tcPr>
          <w:p w14:paraId="5DE03313" w14:textId="25217F81"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1131CCFA"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r w:rsidRPr="005E7DF6">
              <w:rPr>
                <w:rFonts w:ascii="IBM Plex Sans Light" w:eastAsia="Calibri" w:hAnsi="IBM Plex Sans Light"/>
                <w:sz w:val="20"/>
                <w:szCs w:val="20"/>
              </w:rPr>
              <w:t xml:space="preserve"> </w:t>
            </w:r>
          </w:p>
          <w:p w14:paraId="7D14528A" w14:textId="64A46133"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lang w:eastAsia="x-none"/>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01" w:type="dxa"/>
            <w:shd w:val="clear" w:color="auto" w:fill="BFBFBF" w:themeFill="background1" w:themeFillShade="BF"/>
            <w:vAlign w:val="center"/>
          </w:tcPr>
          <w:p w14:paraId="628BC882"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5E3C7FCD" w14:textId="6A83959C"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592412F0" w14:textId="5C7C3178"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lang w:eastAsia="x-none"/>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01" w:type="dxa"/>
            <w:shd w:val="clear" w:color="auto" w:fill="BFBFBF" w:themeFill="background1" w:themeFillShade="BF"/>
            <w:vAlign w:val="center"/>
          </w:tcPr>
          <w:p w14:paraId="74BE60E4"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4697F168"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r w:rsidRPr="005E7DF6">
              <w:rPr>
                <w:rFonts w:ascii="IBM Plex Sans Light" w:eastAsia="Calibri" w:hAnsi="IBM Plex Sans Light"/>
                <w:sz w:val="20"/>
                <w:szCs w:val="20"/>
              </w:rPr>
              <w:t xml:space="preserve"> </w:t>
            </w:r>
          </w:p>
          <w:p w14:paraId="480FC5D8" w14:textId="4E14EFE2"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lang w:eastAsia="x-none"/>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r>
      <w:tr w:rsidR="005D175A" w:rsidRPr="005E7DF6" w14:paraId="3CBBDD66" w14:textId="77777777" w:rsidTr="0004505C">
        <w:trPr>
          <w:trHeight w:val="272"/>
        </w:trPr>
        <w:tc>
          <w:tcPr>
            <w:tcW w:w="4248" w:type="dxa"/>
            <w:shd w:val="clear" w:color="auto" w:fill="BFBFBF" w:themeFill="background1" w:themeFillShade="BF"/>
            <w:vAlign w:val="center"/>
          </w:tcPr>
          <w:p w14:paraId="63E2564B" w14:textId="4ABB4B45" w:rsidR="005D175A" w:rsidRPr="005E7DF6" w:rsidRDefault="005D175A" w:rsidP="005D175A">
            <w:pPr>
              <w:rPr>
                <w:rFonts w:ascii="IBM Plex Sans Light" w:eastAsia="Calibri" w:hAnsi="IBM Plex Sans Light"/>
                <w:b/>
                <w:bCs/>
                <w:vertAlign w:val="superscript"/>
              </w:rPr>
            </w:pPr>
            <w:r w:rsidRPr="005E7DF6">
              <w:rPr>
                <w:rFonts w:ascii="IBM Plex Sans Light" w:eastAsia="Calibri" w:hAnsi="IBM Plex Sans Light"/>
                <w:b/>
                <w:bCs/>
              </w:rPr>
              <w:t>6.</w:t>
            </w:r>
            <w:r w:rsidRPr="005E7DF6">
              <w:rPr>
                <w:rFonts w:ascii="IBM Plex Sans Light" w:eastAsia="Calibri" w:hAnsi="IBM Plex Sans Light"/>
              </w:rPr>
              <w:t xml:space="preserve"> </w:t>
            </w:r>
            <w:r w:rsidRPr="005E7DF6">
              <w:rPr>
                <w:rFonts w:ascii="IBM Plex Sans Light" w:eastAsia="Calibri" w:hAnsi="IBM Plex Sans Light"/>
                <w:b/>
                <w:bCs/>
              </w:rPr>
              <w:t>Wielkość zatrudnienia</w:t>
            </w:r>
            <w:r w:rsidRPr="005E7DF6">
              <w:rPr>
                <w:rStyle w:val="Odwoanieprzypisukocowego"/>
                <w:rFonts w:ascii="IBM Plex Sans Light" w:eastAsia="Calibri" w:hAnsi="IBM Plex Sans Light"/>
                <w:b/>
                <w:bCs/>
              </w:rPr>
              <w:endnoteReference w:id="6"/>
            </w:r>
          </w:p>
          <w:p w14:paraId="38BB4427" w14:textId="0BD80E1A" w:rsidR="005D175A" w:rsidRPr="005E7DF6" w:rsidRDefault="005D175A" w:rsidP="005D175A">
            <w:pPr>
              <w:rPr>
                <w:rFonts w:ascii="IBM Plex Sans Light" w:eastAsia="Calibri" w:hAnsi="IBM Plex Sans Light"/>
                <w:bCs/>
                <w:i/>
                <w:sz w:val="20"/>
                <w:szCs w:val="20"/>
              </w:rPr>
            </w:pPr>
            <w:r w:rsidRPr="005E7DF6">
              <w:rPr>
                <w:rFonts w:ascii="IBM Plex Sans Light" w:eastAsia="Calibri" w:hAnsi="IBM Plex Sans Light"/>
                <w:bCs/>
                <w:i/>
                <w:sz w:val="20"/>
                <w:szCs w:val="20"/>
              </w:rPr>
              <w:t>(w Roboczych Jednostkach Pracy)</w:t>
            </w:r>
          </w:p>
        </w:tc>
        <w:tc>
          <w:tcPr>
            <w:tcW w:w="1814" w:type="dxa"/>
            <w:gridSpan w:val="2"/>
            <w:shd w:val="clear" w:color="auto" w:fill="auto"/>
            <w:vAlign w:val="center"/>
          </w:tcPr>
          <w:p w14:paraId="033264D0" w14:textId="77777777" w:rsidR="005D175A" w:rsidRPr="005E7DF6" w:rsidRDefault="005D175A" w:rsidP="005D175A">
            <w:pPr>
              <w:jc w:val="center"/>
              <w:rPr>
                <w:rFonts w:ascii="IBM Plex Sans Light" w:eastAsia="Calibri" w:hAnsi="IBM Plex Sans Light"/>
                <w:lang w:eastAsia="x-none"/>
              </w:rPr>
            </w:pPr>
          </w:p>
        </w:tc>
        <w:tc>
          <w:tcPr>
            <w:tcW w:w="1701" w:type="dxa"/>
            <w:shd w:val="clear" w:color="auto" w:fill="auto"/>
            <w:vAlign w:val="center"/>
          </w:tcPr>
          <w:p w14:paraId="3F522E78" w14:textId="77777777" w:rsidR="005D175A" w:rsidRPr="005E7DF6" w:rsidRDefault="005D175A" w:rsidP="005D175A">
            <w:pPr>
              <w:jc w:val="center"/>
              <w:rPr>
                <w:rFonts w:ascii="IBM Plex Sans Light" w:eastAsia="Calibri" w:hAnsi="IBM Plex Sans Light"/>
                <w:lang w:eastAsia="x-none"/>
              </w:rPr>
            </w:pPr>
          </w:p>
        </w:tc>
        <w:tc>
          <w:tcPr>
            <w:tcW w:w="1701" w:type="dxa"/>
            <w:shd w:val="clear" w:color="auto" w:fill="auto"/>
            <w:vAlign w:val="center"/>
          </w:tcPr>
          <w:p w14:paraId="4ECD8032" w14:textId="77777777" w:rsidR="005D175A" w:rsidRPr="005E7DF6" w:rsidRDefault="005D175A" w:rsidP="005D175A">
            <w:pPr>
              <w:jc w:val="center"/>
              <w:rPr>
                <w:rFonts w:ascii="IBM Plex Sans Light" w:eastAsia="Calibri" w:hAnsi="IBM Plex Sans Light"/>
                <w:lang w:eastAsia="x-none"/>
              </w:rPr>
            </w:pPr>
          </w:p>
        </w:tc>
      </w:tr>
      <w:tr w:rsidR="005D175A" w:rsidRPr="005E7DF6" w14:paraId="12E9D708" w14:textId="77777777" w:rsidTr="0004505C">
        <w:trPr>
          <w:trHeight w:val="282"/>
        </w:trPr>
        <w:tc>
          <w:tcPr>
            <w:tcW w:w="4248" w:type="dxa"/>
            <w:shd w:val="clear" w:color="auto" w:fill="BFBFBF" w:themeFill="background1" w:themeFillShade="BF"/>
            <w:vAlign w:val="center"/>
          </w:tcPr>
          <w:p w14:paraId="0E2966BA" w14:textId="50875792" w:rsidR="005D175A" w:rsidRPr="005E7DF6" w:rsidRDefault="005D175A" w:rsidP="005D175A">
            <w:pPr>
              <w:rPr>
                <w:rFonts w:ascii="IBM Plex Sans Light" w:eastAsia="Calibri" w:hAnsi="IBM Plex Sans Light"/>
                <w:vertAlign w:val="superscript"/>
              </w:rPr>
            </w:pPr>
            <w:r w:rsidRPr="005E7DF6">
              <w:rPr>
                <w:rFonts w:ascii="IBM Plex Sans Light" w:eastAsia="Calibri" w:hAnsi="IBM Plex Sans Light"/>
                <w:b/>
                <w:bCs/>
              </w:rPr>
              <w:t>7. Obroty ze sprzedaży netto</w:t>
            </w:r>
            <w:r w:rsidRPr="005E7DF6">
              <w:rPr>
                <w:rStyle w:val="Odwoanieprzypisukocowego"/>
                <w:rFonts w:ascii="IBM Plex Sans Light" w:eastAsia="Calibri" w:hAnsi="IBM Plex Sans Light"/>
                <w:b/>
                <w:bCs/>
              </w:rPr>
              <w:endnoteReference w:id="7"/>
            </w:r>
          </w:p>
          <w:p w14:paraId="48E2CA38" w14:textId="6B1359C5" w:rsidR="005D175A" w:rsidRPr="005E7DF6" w:rsidRDefault="005D175A" w:rsidP="005D175A">
            <w:pPr>
              <w:rPr>
                <w:rFonts w:ascii="IBM Plex Sans Light" w:eastAsia="Calibri" w:hAnsi="IBM Plex Sans Light"/>
                <w:i/>
                <w:iCs/>
                <w:sz w:val="20"/>
                <w:szCs w:val="20"/>
                <w:lang w:eastAsia="x-none"/>
              </w:rPr>
            </w:pPr>
            <w:r w:rsidRPr="005E7DF6">
              <w:rPr>
                <w:rFonts w:ascii="IBM Plex Sans Light" w:eastAsia="Calibri" w:hAnsi="IBM Plex Sans Light"/>
                <w:i/>
                <w:iCs/>
                <w:sz w:val="20"/>
                <w:szCs w:val="20"/>
                <w:lang w:eastAsia="x-none"/>
              </w:rPr>
              <w:t>(w tys. EUR na koniec roku obrotowego)</w:t>
            </w:r>
          </w:p>
        </w:tc>
        <w:tc>
          <w:tcPr>
            <w:tcW w:w="1814" w:type="dxa"/>
            <w:gridSpan w:val="2"/>
            <w:shd w:val="clear" w:color="auto" w:fill="auto"/>
            <w:vAlign w:val="center"/>
          </w:tcPr>
          <w:p w14:paraId="3F74A115" w14:textId="77777777" w:rsidR="005D175A" w:rsidRPr="005E7DF6" w:rsidRDefault="005D175A" w:rsidP="005D175A">
            <w:pPr>
              <w:jc w:val="center"/>
              <w:rPr>
                <w:rFonts w:ascii="IBM Plex Sans Light" w:eastAsia="Calibri" w:hAnsi="IBM Plex Sans Light"/>
                <w:highlight w:val="yellow"/>
                <w:lang w:eastAsia="x-none"/>
              </w:rPr>
            </w:pPr>
          </w:p>
        </w:tc>
        <w:tc>
          <w:tcPr>
            <w:tcW w:w="1701" w:type="dxa"/>
            <w:shd w:val="clear" w:color="auto" w:fill="auto"/>
            <w:vAlign w:val="center"/>
          </w:tcPr>
          <w:p w14:paraId="78547B31" w14:textId="77777777" w:rsidR="005D175A" w:rsidRPr="005E7DF6" w:rsidRDefault="005D175A" w:rsidP="005D175A">
            <w:pPr>
              <w:jc w:val="center"/>
              <w:rPr>
                <w:rFonts w:ascii="IBM Plex Sans Light" w:eastAsia="Calibri" w:hAnsi="IBM Plex Sans Light"/>
                <w:lang w:eastAsia="x-none"/>
              </w:rPr>
            </w:pPr>
          </w:p>
        </w:tc>
        <w:tc>
          <w:tcPr>
            <w:tcW w:w="1701" w:type="dxa"/>
            <w:shd w:val="clear" w:color="auto" w:fill="auto"/>
            <w:vAlign w:val="center"/>
          </w:tcPr>
          <w:p w14:paraId="5C06FB76" w14:textId="77777777" w:rsidR="005D175A" w:rsidRPr="005E7DF6" w:rsidRDefault="005D175A" w:rsidP="005D175A">
            <w:pPr>
              <w:jc w:val="center"/>
              <w:rPr>
                <w:rFonts w:ascii="IBM Plex Sans Light" w:eastAsia="Calibri" w:hAnsi="IBM Plex Sans Light"/>
                <w:lang w:eastAsia="x-none"/>
              </w:rPr>
            </w:pPr>
          </w:p>
        </w:tc>
      </w:tr>
      <w:tr w:rsidR="005D175A" w:rsidRPr="005E7DF6" w14:paraId="6DE5741C" w14:textId="77777777" w:rsidTr="0004505C">
        <w:trPr>
          <w:trHeight w:val="272"/>
        </w:trPr>
        <w:tc>
          <w:tcPr>
            <w:tcW w:w="4248" w:type="dxa"/>
            <w:shd w:val="clear" w:color="auto" w:fill="BFBFBF" w:themeFill="background1" w:themeFillShade="BF"/>
            <w:vAlign w:val="center"/>
          </w:tcPr>
          <w:p w14:paraId="2FEAF65E" w14:textId="77777777" w:rsidR="005D175A" w:rsidRPr="005E7DF6" w:rsidRDefault="005D175A" w:rsidP="005D175A">
            <w:pPr>
              <w:rPr>
                <w:rFonts w:ascii="IBM Plex Sans Light" w:eastAsia="Calibri" w:hAnsi="IBM Plex Sans Light"/>
                <w:lang w:eastAsia="x-none"/>
              </w:rPr>
            </w:pPr>
            <w:r w:rsidRPr="005E7DF6">
              <w:rPr>
                <w:rFonts w:ascii="IBM Plex Sans Light" w:eastAsia="Calibri" w:hAnsi="IBM Plex Sans Light"/>
                <w:b/>
                <w:bCs/>
                <w:lang w:eastAsia="x-none"/>
              </w:rPr>
              <w:t>8.</w:t>
            </w:r>
            <w:r w:rsidRPr="005E7DF6">
              <w:rPr>
                <w:rFonts w:ascii="IBM Plex Sans Light" w:eastAsia="Calibri" w:hAnsi="IBM Plex Sans Light"/>
                <w:lang w:eastAsia="x-none"/>
              </w:rPr>
              <w:t xml:space="preserve"> </w:t>
            </w:r>
            <w:r w:rsidRPr="005E7DF6">
              <w:rPr>
                <w:rFonts w:ascii="IBM Plex Sans Light" w:eastAsia="Calibri" w:hAnsi="IBM Plex Sans Light"/>
                <w:b/>
                <w:bCs/>
                <w:lang w:eastAsia="x-none"/>
              </w:rPr>
              <w:t>Suma aktywów bilansu</w:t>
            </w:r>
            <w:r w:rsidRPr="005E7DF6">
              <w:rPr>
                <w:rFonts w:ascii="IBM Plex Sans Light" w:eastAsia="Calibri" w:hAnsi="IBM Plex Sans Light"/>
                <w:lang w:eastAsia="x-none"/>
              </w:rPr>
              <w:t xml:space="preserve"> </w:t>
            </w:r>
          </w:p>
          <w:p w14:paraId="150D2EE5" w14:textId="6067BBE6" w:rsidR="005D175A" w:rsidRPr="005E7DF6" w:rsidRDefault="005D175A" w:rsidP="005D175A">
            <w:pPr>
              <w:rPr>
                <w:rFonts w:ascii="IBM Plex Sans Light" w:eastAsia="Calibri" w:hAnsi="IBM Plex Sans Light"/>
                <w:i/>
                <w:iCs/>
                <w:sz w:val="20"/>
                <w:szCs w:val="20"/>
                <w:lang w:eastAsia="x-none"/>
              </w:rPr>
            </w:pPr>
            <w:r w:rsidRPr="005E7DF6">
              <w:rPr>
                <w:rFonts w:ascii="IBM Plex Sans Light" w:eastAsia="Calibri" w:hAnsi="IBM Plex Sans Light"/>
                <w:i/>
                <w:iCs/>
                <w:sz w:val="20"/>
                <w:szCs w:val="20"/>
                <w:lang w:eastAsia="x-none"/>
              </w:rPr>
              <w:t>(w tys. EUR na koniec roku obrotowego)</w:t>
            </w:r>
          </w:p>
        </w:tc>
        <w:tc>
          <w:tcPr>
            <w:tcW w:w="1814" w:type="dxa"/>
            <w:gridSpan w:val="2"/>
            <w:shd w:val="clear" w:color="auto" w:fill="auto"/>
            <w:vAlign w:val="center"/>
          </w:tcPr>
          <w:p w14:paraId="35CCC4B5" w14:textId="77777777" w:rsidR="005D175A" w:rsidRPr="005E7DF6" w:rsidRDefault="005D175A" w:rsidP="005D175A">
            <w:pPr>
              <w:jc w:val="center"/>
              <w:rPr>
                <w:rFonts w:ascii="IBM Plex Sans Light" w:eastAsia="Calibri" w:hAnsi="IBM Plex Sans Light"/>
                <w:lang w:eastAsia="x-none"/>
              </w:rPr>
            </w:pPr>
          </w:p>
        </w:tc>
        <w:tc>
          <w:tcPr>
            <w:tcW w:w="1701" w:type="dxa"/>
            <w:shd w:val="clear" w:color="auto" w:fill="auto"/>
            <w:vAlign w:val="center"/>
          </w:tcPr>
          <w:p w14:paraId="0BA33277" w14:textId="77777777" w:rsidR="005D175A" w:rsidRPr="005E7DF6" w:rsidRDefault="005D175A" w:rsidP="005D175A">
            <w:pPr>
              <w:jc w:val="center"/>
              <w:rPr>
                <w:rFonts w:ascii="IBM Plex Sans Light" w:hAnsi="IBM Plex Sans Light"/>
              </w:rPr>
            </w:pPr>
          </w:p>
        </w:tc>
        <w:tc>
          <w:tcPr>
            <w:tcW w:w="1701" w:type="dxa"/>
            <w:shd w:val="clear" w:color="auto" w:fill="auto"/>
            <w:vAlign w:val="center"/>
          </w:tcPr>
          <w:p w14:paraId="0ED3C97D" w14:textId="77777777" w:rsidR="005D175A" w:rsidRPr="005E7DF6" w:rsidRDefault="005D175A" w:rsidP="005D175A">
            <w:pPr>
              <w:jc w:val="center"/>
              <w:rPr>
                <w:rFonts w:ascii="IBM Plex Sans Light" w:hAnsi="IBM Plex Sans Light"/>
              </w:rPr>
            </w:pPr>
          </w:p>
        </w:tc>
      </w:tr>
      <w:tr w:rsidR="005D175A" w:rsidRPr="005E7DF6" w14:paraId="62513005" w14:textId="77777777" w:rsidTr="008B4038">
        <w:trPr>
          <w:trHeight w:val="282"/>
        </w:trPr>
        <w:tc>
          <w:tcPr>
            <w:tcW w:w="6062" w:type="dxa"/>
            <w:gridSpan w:val="3"/>
            <w:shd w:val="clear" w:color="auto" w:fill="BFBFBF" w:themeFill="background1" w:themeFillShade="BF"/>
          </w:tcPr>
          <w:p w14:paraId="16A43CC0"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b/>
                <w:lang w:eastAsia="x-none"/>
              </w:rPr>
              <w:t>9.</w:t>
            </w:r>
            <w:r w:rsidRPr="005E7DF6">
              <w:rPr>
                <w:rFonts w:ascii="IBM Plex Sans Light" w:eastAsia="Calibri" w:hAnsi="IBM Plex Sans Light"/>
                <w:lang w:eastAsia="x-none"/>
              </w:rPr>
              <w:t xml:space="preserve"> 25% lub więcej kapitału lub praw głosu jest kontrolowane bezpośrednio lub pośrednio, wspólnie </w:t>
            </w:r>
            <w:r w:rsidRPr="005E7DF6">
              <w:rPr>
                <w:rFonts w:ascii="IBM Plex Sans Light" w:eastAsia="Calibri" w:hAnsi="IBM Plex Sans Light"/>
                <w:lang w:eastAsia="x-none"/>
              </w:rPr>
              <w:lastRenderedPageBreak/>
              <w:t>lub indywidualnie, przez jeden lub kilka organów publicznych</w:t>
            </w:r>
          </w:p>
        </w:tc>
        <w:tc>
          <w:tcPr>
            <w:tcW w:w="1701" w:type="dxa"/>
            <w:shd w:val="clear" w:color="auto" w:fill="auto"/>
          </w:tcPr>
          <w:p w14:paraId="35BB5EDA"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noProof/>
              </w:rPr>
              <w:lastRenderedPageBreak/>
              <mc:AlternateContent>
                <mc:Choice Requires="wpg">
                  <w:drawing>
                    <wp:anchor distT="0" distB="0" distL="114300" distR="114300" simplePos="0" relativeHeight="251684864" behindDoc="0" locked="0" layoutInCell="1" allowOverlap="1" wp14:anchorId="0B9C7B20" wp14:editId="0D2C396B">
                      <wp:simplePos x="0" y="0"/>
                      <wp:positionH relativeFrom="column">
                        <wp:posOffset>31115</wp:posOffset>
                      </wp:positionH>
                      <wp:positionV relativeFrom="paragraph">
                        <wp:posOffset>78105</wp:posOffset>
                      </wp:positionV>
                      <wp:extent cx="1022350" cy="254000"/>
                      <wp:effectExtent l="9525" t="5080" r="0" b="7620"/>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1" name="Text Box 13"/>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39BD92A" w14:textId="77777777" w:rsidR="005D175A" w:rsidRDefault="005D175A" w:rsidP="00DA689E"/>
                                </w:txbxContent>
                              </wps:txbx>
                              <wps:bodyPr rot="0" vert="horz" wrap="square" lIns="91440" tIns="45720" rIns="91440" bIns="45720" anchor="t" anchorCtr="0" upright="1">
                                <a:noAutofit/>
                              </wps:bodyPr>
                            </wps:wsp>
                            <wps:wsp>
                              <wps:cNvPr id="22" name="Text Box 14"/>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311C7B" w14:textId="77777777" w:rsidR="005D175A" w:rsidRPr="008B4038" w:rsidRDefault="005D175A" w:rsidP="00DA689E">
                                    <w:pPr>
                                      <w:rPr>
                                        <w:rFonts w:ascii="IBM Plex Sans" w:hAnsi="IBM Plex Sans"/>
                                        <w:b/>
                                      </w:rPr>
                                    </w:pPr>
                                    <w:r w:rsidRPr="008B4038">
                                      <w:rPr>
                                        <w:rFonts w:ascii="IBM Plex Sans" w:hAnsi="IBM Plex Sans"/>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C7B20" id="Grupa 20" o:spid="_x0000_s1026" style="position:absolute;left:0;text-align:left;margin-left:2.45pt;margin-top:6.15pt;width:80.5pt;height:20pt;z-index:251684864"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">
                      <v:shapetype id="_x0000_t202" coordsize="21600,21600" o:spt="202" path="m,l,21600r21600,l21600,xe">
                        <v:stroke joinstyle="miter"/>
                        <v:path gradientshapeok="t" o:connecttype="rect"/>
                      </v:shapetype>
                      <v:shape id="Text Box 13" o:spid="_x0000_s1027"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" filled="f" fillcolor="yellow" strokeweight=".25pt">
                        <v:textbox>
                          <w:txbxContent>
                            <w:p w14:paraId="739BD92A" w14:textId="77777777" w:rsidR="005D175A" w:rsidRDefault="005D175A" w:rsidP="00DA689E"/>
                          </w:txbxContent>
                        </v:textbox>
                      </v:shape>
                      <v:shape id="Text Box 14" o:spid="_x0000_s1028"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" filled="f" fillcolor="yellow" stroked="f" strokeweight=".25pt">
                        <v:textbox>
                          <w:txbxContent>
                            <w:p w14:paraId="0A311C7B" w14:textId="77777777" w:rsidR="005D175A" w:rsidRPr="008B4038" w:rsidRDefault="005D175A" w:rsidP="00DA689E">
                              <w:pPr>
                                <w:rPr>
                                  <w:rFonts w:ascii="IBM Plex Sans" w:hAnsi="IBM Plex Sans"/>
                                  <w:b/>
                                </w:rPr>
                              </w:pPr>
                              <w:r w:rsidRPr="008B4038">
                                <w:rPr>
                                  <w:rFonts w:ascii="IBM Plex Sans" w:hAnsi="IBM Plex Sans"/>
                                  <w:b/>
                                </w:rPr>
                                <w:t>tak</w:t>
                              </w:r>
                            </w:p>
                          </w:txbxContent>
                        </v:textbox>
                      </v:shape>
                    </v:group>
                  </w:pict>
                </mc:Fallback>
              </mc:AlternateContent>
            </w:r>
          </w:p>
        </w:tc>
        <w:tc>
          <w:tcPr>
            <w:tcW w:w="1701" w:type="dxa"/>
            <w:shd w:val="clear" w:color="auto" w:fill="auto"/>
          </w:tcPr>
          <w:p w14:paraId="7032A783"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b/>
                <w:noProof/>
              </w:rPr>
              <mc:AlternateContent>
                <mc:Choice Requires="wpg">
                  <w:drawing>
                    <wp:anchor distT="0" distB="0" distL="114300" distR="114300" simplePos="0" relativeHeight="251685888" behindDoc="0" locked="0" layoutInCell="1" allowOverlap="1" wp14:anchorId="74A37996" wp14:editId="3E7C66C7">
                      <wp:simplePos x="0" y="0"/>
                      <wp:positionH relativeFrom="column">
                        <wp:posOffset>21590</wp:posOffset>
                      </wp:positionH>
                      <wp:positionV relativeFrom="paragraph">
                        <wp:posOffset>78105</wp:posOffset>
                      </wp:positionV>
                      <wp:extent cx="1009650" cy="254000"/>
                      <wp:effectExtent l="13335" t="5080" r="0" b="762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8" name="Text Box 16"/>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91F7E49" w14:textId="5935B244" w:rsidR="005D175A" w:rsidRDefault="005D175A" w:rsidP="00DA689E"/>
                                </w:txbxContent>
                              </wps:txbx>
                              <wps:bodyPr rot="0" vert="horz" wrap="square" lIns="91440" tIns="45720" rIns="91440" bIns="45720" anchor="t" anchorCtr="0" upright="1">
                                <a:noAutofit/>
                              </wps:bodyPr>
                            </wps:wsp>
                            <wps:wsp>
                              <wps:cNvPr id="19" name="Text Box 17"/>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C8DEA0" w14:textId="77777777" w:rsidR="005D175A" w:rsidRPr="008B4038" w:rsidRDefault="005D175A" w:rsidP="00DA689E">
                                    <w:pPr>
                                      <w:rPr>
                                        <w:rFonts w:ascii="IBM Plex Sans" w:hAnsi="IBM Plex Sans"/>
                                        <w:b/>
                                      </w:rPr>
                                    </w:pPr>
                                    <w:r w:rsidRPr="008B4038">
                                      <w:rPr>
                                        <w:rFonts w:ascii="IBM Plex Sans" w:hAnsi="IBM Plex Sans"/>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37996" id="Grupa 17" o:spid="_x0000_s1029" style="position:absolute;left:0;text-align:left;margin-left:1.7pt;margin-top:6.15pt;width:79.5pt;height:20pt;z-index:251685888"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">
                      <v:shape id="Text Box 16" o:spid="_x0000_s1030"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" filled="f" fillcolor="yellow" strokeweight=".25pt">
                        <v:textbox>
                          <w:txbxContent>
                            <w:p w14:paraId="391F7E49" w14:textId="5935B244" w:rsidR="005D175A" w:rsidRDefault="005D175A" w:rsidP="00DA689E"/>
                          </w:txbxContent>
                        </v:textbox>
                      </v:shape>
                      <v:shape id="Text Box 17" o:spid="_x0000_s1031"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" filled="f" fillcolor="yellow" stroked="f" strokeweight=".25pt">
                        <v:textbox>
                          <w:txbxContent>
                            <w:p w14:paraId="14C8DEA0" w14:textId="77777777" w:rsidR="005D175A" w:rsidRPr="008B4038" w:rsidRDefault="005D175A" w:rsidP="00DA689E">
                              <w:pPr>
                                <w:rPr>
                                  <w:rFonts w:ascii="IBM Plex Sans" w:hAnsi="IBM Plex Sans"/>
                                  <w:b/>
                                </w:rPr>
                              </w:pPr>
                              <w:r w:rsidRPr="008B4038">
                                <w:rPr>
                                  <w:rFonts w:ascii="IBM Plex Sans" w:hAnsi="IBM Plex Sans"/>
                                  <w:b/>
                                </w:rPr>
                                <w:t>nie</w:t>
                              </w:r>
                            </w:p>
                          </w:txbxContent>
                        </v:textbox>
                      </v:shape>
                    </v:group>
                  </w:pict>
                </mc:Fallback>
              </mc:AlternateContent>
            </w:r>
          </w:p>
        </w:tc>
      </w:tr>
      <w:tr w:rsidR="005D175A" w:rsidRPr="005E7DF6" w14:paraId="5C0C8B09" w14:textId="77777777" w:rsidTr="008B4038">
        <w:trPr>
          <w:trHeight w:val="282"/>
        </w:trPr>
        <w:tc>
          <w:tcPr>
            <w:tcW w:w="6062" w:type="dxa"/>
            <w:gridSpan w:val="3"/>
            <w:shd w:val="clear" w:color="auto" w:fill="BFBFBF" w:themeFill="background1" w:themeFillShade="BF"/>
          </w:tcPr>
          <w:p w14:paraId="5FAC0B27" w14:textId="77777777" w:rsidR="005D175A" w:rsidRPr="005E7DF6" w:rsidRDefault="005D175A" w:rsidP="005D175A">
            <w:pPr>
              <w:rPr>
                <w:rFonts w:ascii="IBM Plex Sans Light" w:eastAsia="Calibri" w:hAnsi="IBM Plex Sans Light"/>
              </w:rPr>
            </w:pPr>
            <w:r w:rsidRPr="005E7DF6">
              <w:rPr>
                <w:rFonts w:ascii="IBM Plex Sans Light" w:eastAsia="Calibri" w:hAnsi="IBM Plex Sans Light"/>
                <w:b/>
                <w:bCs/>
              </w:rPr>
              <w:t>10.</w:t>
            </w:r>
            <w:r w:rsidRPr="005E7DF6">
              <w:rPr>
                <w:rFonts w:ascii="IBM Plex Sans Light" w:eastAsia="Calibri" w:hAnsi="IBM Plex Sans Light"/>
              </w:rPr>
              <w:t xml:space="preserve"> Powyższa wartość 25% kapitału lub praw głosu została osiągnięta lub przekroczona przez następujących inwestorów:</w:t>
            </w:r>
          </w:p>
          <w:p w14:paraId="6634C11D" w14:textId="77777777" w:rsidR="005D175A" w:rsidRPr="005E7DF6" w:rsidRDefault="005D175A" w:rsidP="005D175A">
            <w:pPr>
              <w:numPr>
                <w:ilvl w:val="0"/>
                <w:numId w:val="5"/>
              </w:numPr>
              <w:tabs>
                <w:tab w:val="num" w:pos="0"/>
              </w:tabs>
              <w:ind w:left="284" w:hanging="720"/>
              <w:rPr>
                <w:rFonts w:ascii="IBM Plex Sans Light" w:eastAsia="Calibri" w:hAnsi="IBM Plex Sans Light"/>
                <w:sz w:val="20"/>
                <w:szCs w:val="20"/>
              </w:rPr>
            </w:pPr>
            <w:r w:rsidRPr="005E7DF6">
              <w:rPr>
                <w:rFonts w:ascii="IBM Plex Sans Light" w:eastAsia="Calibri" w:hAnsi="IBM Plex Sans Light"/>
                <w:sz w:val="20"/>
                <w:szCs w:val="20"/>
              </w:rPr>
              <w:t xml:space="preserve">1) publiczne korporacje inwestycyjne, spółki venture </w:t>
            </w:r>
            <w:proofErr w:type="spellStart"/>
            <w:r w:rsidRPr="005E7DF6">
              <w:rPr>
                <w:rFonts w:ascii="IBM Plex Sans Light" w:eastAsia="Calibri" w:hAnsi="IBM Plex Sans Light"/>
                <w:sz w:val="20"/>
                <w:szCs w:val="20"/>
              </w:rPr>
              <w:t>capital</w:t>
            </w:r>
            <w:proofErr w:type="spellEnd"/>
            <w:r w:rsidRPr="005E7DF6">
              <w:rPr>
                <w:rFonts w:ascii="IBM Plex Sans Light" w:eastAsia="Calibri" w:hAnsi="IBM Plex Sans Light"/>
                <w:sz w:val="20"/>
                <w:szCs w:val="20"/>
              </w:rPr>
              <w:t xml:space="preserve">, osoby fizyczne lub grupy osób fizycznych prowadzące regularną działalność inwestycyjną w oparciu o venture </w:t>
            </w:r>
            <w:proofErr w:type="spellStart"/>
            <w:r w:rsidRPr="005E7DF6">
              <w:rPr>
                <w:rFonts w:ascii="IBM Plex Sans Light" w:eastAsia="Calibri" w:hAnsi="IBM Plex Sans Light"/>
                <w:sz w:val="20"/>
                <w:szCs w:val="20"/>
              </w:rPr>
              <w:t>capital</w:t>
            </w:r>
            <w:proofErr w:type="spellEnd"/>
            <w:r w:rsidRPr="005E7DF6">
              <w:rPr>
                <w:rFonts w:ascii="IBM Plex Sans Light" w:eastAsia="Calibri" w:hAnsi="IBM Plex Sans Light"/>
                <w:sz w:val="20"/>
                <w:szCs w:val="20"/>
              </w:rPr>
              <w:t>, które inwestują w firmy nienotowane na giełdzie (tzw. „anioły biznesu”), pod warunkiem, że całkowita kwota inwestycji tych inwestorów w jedno przedsiębiorstwo nie przekroczy 1 250 000 EUR;</w:t>
            </w:r>
          </w:p>
          <w:p w14:paraId="10E16F99" w14:textId="6A3ED2D9" w:rsidR="005D175A" w:rsidRPr="005E7DF6" w:rsidRDefault="005D175A" w:rsidP="005D175A">
            <w:pPr>
              <w:numPr>
                <w:ilvl w:val="0"/>
                <w:numId w:val="5"/>
              </w:numPr>
              <w:tabs>
                <w:tab w:val="clear" w:pos="720"/>
                <w:tab w:val="num" w:pos="284"/>
                <w:tab w:val="num" w:pos="311"/>
              </w:tabs>
              <w:ind w:left="311" w:hanging="311"/>
              <w:rPr>
                <w:rFonts w:ascii="IBM Plex Sans Light" w:eastAsia="Calibri" w:hAnsi="IBM Plex Sans Light"/>
                <w:sz w:val="20"/>
                <w:szCs w:val="20"/>
              </w:rPr>
            </w:pPr>
            <w:r w:rsidRPr="005E7DF6">
              <w:rPr>
                <w:rFonts w:ascii="IBM Plex Sans Light" w:eastAsia="Calibri" w:hAnsi="IBM Plex Sans Light"/>
                <w:sz w:val="20"/>
                <w:szCs w:val="20"/>
              </w:rPr>
              <w:t>uczelnie wyższe lub ośrodki badawcze nienastawione na zysk;</w:t>
            </w:r>
          </w:p>
          <w:p w14:paraId="3382EFF0" w14:textId="6DF1D272" w:rsidR="005D175A" w:rsidRPr="005E7DF6" w:rsidRDefault="005D175A" w:rsidP="005D175A">
            <w:pPr>
              <w:numPr>
                <w:ilvl w:val="0"/>
                <w:numId w:val="5"/>
              </w:numPr>
              <w:tabs>
                <w:tab w:val="clear" w:pos="720"/>
                <w:tab w:val="num" w:pos="169"/>
                <w:tab w:val="num" w:pos="284"/>
              </w:tabs>
              <w:ind w:left="311" w:hanging="311"/>
              <w:rPr>
                <w:rFonts w:ascii="IBM Plex Sans Light" w:eastAsia="Calibri" w:hAnsi="IBM Plex Sans Light"/>
                <w:sz w:val="20"/>
                <w:szCs w:val="20"/>
              </w:rPr>
            </w:pPr>
            <w:r w:rsidRPr="005E7DF6">
              <w:rPr>
                <w:rFonts w:ascii="IBM Plex Sans Light" w:eastAsia="Calibri" w:hAnsi="IBM Plex Sans Light"/>
                <w:sz w:val="20"/>
                <w:szCs w:val="20"/>
              </w:rPr>
              <w:t>inwestorzy instytucjonalni</w:t>
            </w:r>
            <w:r w:rsidRPr="005E7DF6">
              <w:rPr>
                <w:rStyle w:val="Odwoanieprzypisukocowego"/>
                <w:rFonts w:ascii="IBM Plex Sans Light" w:eastAsia="Calibri" w:hAnsi="IBM Plex Sans Light"/>
                <w:sz w:val="20"/>
                <w:szCs w:val="20"/>
              </w:rPr>
              <w:endnoteReference w:id="8"/>
            </w:r>
            <w:r w:rsidRPr="005E7DF6">
              <w:rPr>
                <w:rFonts w:ascii="IBM Plex Sans Light" w:eastAsia="Calibri" w:hAnsi="IBM Plex Sans Light"/>
                <w:sz w:val="20"/>
                <w:szCs w:val="20"/>
              </w:rPr>
              <w:t>, w tym fundusze rozwoju regionalnego;</w:t>
            </w:r>
          </w:p>
          <w:p w14:paraId="413B9C3C" w14:textId="77777777" w:rsidR="005D175A" w:rsidRPr="005E7DF6" w:rsidRDefault="005D175A" w:rsidP="005D175A">
            <w:pPr>
              <w:numPr>
                <w:ilvl w:val="0"/>
                <w:numId w:val="5"/>
              </w:numPr>
              <w:tabs>
                <w:tab w:val="num" w:pos="284"/>
              </w:tabs>
              <w:ind w:left="284" w:hanging="284"/>
              <w:rPr>
                <w:rFonts w:ascii="IBM Plex Sans Light" w:eastAsia="Calibri" w:hAnsi="IBM Plex Sans Light"/>
                <w:sz w:val="20"/>
                <w:szCs w:val="20"/>
              </w:rPr>
            </w:pPr>
            <w:r w:rsidRPr="005E7DF6">
              <w:rPr>
                <w:rFonts w:ascii="IBM Plex Sans Light" w:eastAsia="Calibri" w:hAnsi="IBM Plex Sans Light"/>
                <w:sz w:val="20"/>
                <w:szCs w:val="20"/>
              </w:rPr>
              <w:t>niezależne władze lokalne z rocznym budżetem poniżej 10 milionów EUR oraz liczbą mieszkańców poniżej 5 000</w:t>
            </w:r>
          </w:p>
          <w:p w14:paraId="26E57FAB" w14:textId="0F8523DC" w:rsidR="005D175A" w:rsidRPr="005E7DF6" w:rsidRDefault="005D175A" w:rsidP="005D175A">
            <w:pPr>
              <w:rPr>
                <w:rFonts w:ascii="IBM Plex Sans Light" w:eastAsia="Calibri" w:hAnsi="IBM Plex Sans Light"/>
              </w:rPr>
            </w:pPr>
            <w:r w:rsidRPr="005E7DF6">
              <w:rPr>
                <w:rFonts w:ascii="IBM Plex Sans Light" w:eastAsia="Calibri" w:hAnsi="IBM Plex Sans Light"/>
                <w:sz w:val="20"/>
                <w:szCs w:val="20"/>
              </w:rPr>
              <w:t xml:space="preserve">- </w:t>
            </w:r>
            <w:r w:rsidRPr="005E7DF6">
              <w:rPr>
                <w:rFonts w:ascii="IBM Plex Sans Light" w:eastAsia="Calibri" w:hAnsi="IBM Plex Sans Light"/>
                <w:sz w:val="20"/>
                <w:szCs w:val="20"/>
                <w:u w:val="single"/>
              </w:rPr>
              <w:t>i podmioty te nie są powiązane</w:t>
            </w:r>
            <w:r w:rsidRPr="005E7DF6">
              <w:rPr>
                <w:rStyle w:val="Odwoanieprzypisukocowego"/>
                <w:rFonts w:ascii="IBM Plex Sans Light" w:eastAsia="Calibri" w:hAnsi="IBM Plex Sans Light"/>
                <w:sz w:val="20"/>
                <w:szCs w:val="20"/>
                <w:u w:val="single"/>
              </w:rPr>
              <w:endnoteReference w:id="9"/>
            </w:r>
            <w:r w:rsidRPr="005E7DF6">
              <w:rPr>
                <w:rFonts w:ascii="IBM Plex Sans Light" w:eastAsia="Calibri" w:hAnsi="IBM Plex Sans Light"/>
                <w:sz w:val="20"/>
                <w:szCs w:val="20"/>
              </w:rPr>
              <w:t>, indywidualnie lub wspólnie, z przedsiębiorstwem, w którym posiadają 25% lub więcej kapitału lub prawa głosu.</w:t>
            </w:r>
            <w:r w:rsidRPr="005E7DF6">
              <w:rPr>
                <w:rFonts w:ascii="IBM Plex Sans Light" w:eastAsia="Calibri" w:hAnsi="IBM Plex Sans Light"/>
              </w:rPr>
              <w:t xml:space="preserve"> </w:t>
            </w:r>
          </w:p>
        </w:tc>
        <w:tc>
          <w:tcPr>
            <w:tcW w:w="1701" w:type="dxa"/>
            <w:shd w:val="clear" w:color="auto" w:fill="auto"/>
          </w:tcPr>
          <w:p w14:paraId="4D5F7CBE"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noProof/>
              </w:rPr>
              <mc:AlternateContent>
                <mc:Choice Requires="wpg">
                  <w:drawing>
                    <wp:anchor distT="0" distB="0" distL="114300" distR="114300" simplePos="0" relativeHeight="251686912" behindDoc="0" locked="0" layoutInCell="1" allowOverlap="1" wp14:anchorId="457FC0BA" wp14:editId="511170A4">
                      <wp:simplePos x="0" y="0"/>
                      <wp:positionH relativeFrom="column">
                        <wp:posOffset>31115</wp:posOffset>
                      </wp:positionH>
                      <wp:positionV relativeFrom="paragraph">
                        <wp:posOffset>114935</wp:posOffset>
                      </wp:positionV>
                      <wp:extent cx="1022350" cy="254000"/>
                      <wp:effectExtent l="9525" t="6350" r="0" b="635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5" name="Text Box 19"/>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F49EC8" w14:textId="77777777" w:rsidR="005D175A" w:rsidRDefault="005D175A" w:rsidP="00DA689E"/>
                                </w:txbxContent>
                              </wps:txbx>
                              <wps:bodyPr rot="0" vert="horz" wrap="square" lIns="91440" tIns="45720" rIns="91440" bIns="45720" anchor="t" anchorCtr="0" upright="1">
                                <a:noAutofit/>
                              </wps:bodyPr>
                            </wps:wsp>
                            <wps:wsp>
                              <wps:cNvPr id="16" name="Text Box 20"/>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DAA932D" w14:textId="77777777" w:rsidR="005D175A" w:rsidRPr="008B4038" w:rsidRDefault="005D175A" w:rsidP="00DA689E">
                                    <w:pPr>
                                      <w:rPr>
                                        <w:rFonts w:ascii="IBM Plex Sans" w:hAnsi="IBM Plex Sans"/>
                                        <w:b/>
                                      </w:rPr>
                                    </w:pPr>
                                    <w:r w:rsidRPr="008B4038">
                                      <w:rPr>
                                        <w:rFonts w:ascii="IBM Plex Sans" w:hAnsi="IBM Plex Sans"/>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FC0BA" id="Grupa 14" o:spid="_x0000_s1032" style="position:absolute;left:0;text-align:left;margin-left:2.45pt;margin-top:9.05pt;width:80.5pt;height:20pt;z-index:251686912"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">
                      <v:shape id="Text Box 19" o:spid="_x0000_s1033"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" filled="f" fillcolor="yellow" strokeweight=".25pt">
                        <v:textbox>
                          <w:txbxContent>
                            <w:p w14:paraId="29F49EC8" w14:textId="77777777" w:rsidR="005D175A" w:rsidRDefault="005D175A" w:rsidP="00DA689E"/>
                          </w:txbxContent>
                        </v:textbox>
                      </v:shape>
                      <v:shape id="Text Box 20" o:spid="_x0000_s1034"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" filled="f" fillcolor="yellow" stroked="f" strokeweight=".25pt">
                        <v:textbox>
                          <w:txbxContent>
                            <w:p w14:paraId="3DAA932D" w14:textId="77777777" w:rsidR="005D175A" w:rsidRPr="008B4038" w:rsidRDefault="005D175A" w:rsidP="00DA689E">
                              <w:pPr>
                                <w:rPr>
                                  <w:rFonts w:ascii="IBM Plex Sans" w:hAnsi="IBM Plex Sans"/>
                                  <w:b/>
                                </w:rPr>
                              </w:pPr>
                              <w:r w:rsidRPr="008B4038">
                                <w:rPr>
                                  <w:rFonts w:ascii="IBM Plex Sans" w:hAnsi="IBM Plex Sans"/>
                                  <w:b/>
                                </w:rPr>
                                <w:t>tak</w:t>
                              </w:r>
                            </w:p>
                          </w:txbxContent>
                        </v:textbox>
                      </v:shape>
                    </v:group>
                  </w:pict>
                </mc:Fallback>
              </mc:AlternateContent>
            </w:r>
          </w:p>
        </w:tc>
        <w:tc>
          <w:tcPr>
            <w:tcW w:w="1701" w:type="dxa"/>
            <w:shd w:val="clear" w:color="auto" w:fill="auto"/>
          </w:tcPr>
          <w:p w14:paraId="634152A6"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noProof/>
              </w:rPr>
              <mc:AlternateContent>
                <mc:Choice Requires="wpg">
                  <w:drawing>
                    <wp:anchor distT="0" distB="0" distL="114300" distR="114300" simplePos="0" relativeHeight="251687936" behindDoc="0" locked="0" layoutInCell="1" allowOverlap="1" wp14:anchorId="251B31F3" wp14:editId="1F58001C">
                      <wp:simplePos x="0" y="0"/>
                      <wp:positionH relativeFrom="column">
                        <wp:posOffset>21590</wp:posOffset>
                      </wp:positionH>
                      <wp:positionV relativeFrom="paragraph">
                        <wp:posOffset>114935</wp:posOffset>
                      </wp:positionV>
                      <wp:extent cx="1009650" cy="254000"/>
                      <wp:effectExtent l="13335" t="6350" r="0" b="635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2" name="Text Box 22"/>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E81B9C4" w14:textId="7C04AFBE" w:rsidR="005D175A" w:rsidRDefault="005D175A" w:rsidP="00DA689E"/>
                                </w:txbxContent>
                              </wps:txbx>
                              <wps:bodyPr rot="0" vert="horz" wrap="square" lIns="91440" tIns="45720" rIns="91440" bIns="45720" anchor="t" anchorCtr="0" upright="1">
                                <a:noAutofit/>
                              </wps:bodyPr>
                            </wps:wsp>
                            <wps:wsp>
                              <wps:cNvPr id="13" name="Text Box 23"/>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1C18B8" w14:textId="77777777" w:rsidR="005D175A" w:rsidRPr="008B4038" w:rsidRDefault="005D175A" w:rsidP="00DA689E">
                                    <w:pPr>
                                      <w:rPr>
                                        <w:rFonts w:ascii="IBM Plex Sans" w:hAnsi="IBM Plex Sans"/>
                                        <w:b/>
                                      </w:rPr>
                                    </w:pPr>
                                    <w:r w:rsidRPr="008B4038">
                                      <w:rPr>
                                        <w:rFonts w:ascii="IBM Plex Sans" w:hAnsi="IBM Plex Sans"/>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31F3" id="Grupa 11" o:spid="_x0000_s1035" style="position:absolute;left:0;text-align:left;margin-left:1.7pt;margin-top:9.05pt;width:79.5pt;height:20pt;z-index:251687936"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">
                      <v:shape id="Text Box 22" o:spid="_x0000_s1036"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" filled="f" fillcolor="yellow" strokeweight=".25pt">
                        <v:textbox>
                          <w:txbxContent>
                            <w:p w14:paraId="5E81B9C4" w14:textId="7C04AFBE" w:rsidR="005D175A" w:rsidRDefault="005D175A" w:rsidP="00DA689E"/>
                          </w:txbxContent>
                        </v:textbox>
                      </v:shape>
                      <v:shape id="Text Box 23" o:spid="_x0000_s103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" filled="f" fillcolor="yellow" stroked="f" strokeweight=".25pt">
                        <v:textbox>
                          <w:txbxContent>
                            <w:p w14:paraId="401C18B8" w14:textId="77777777" w:rsidR="005D175A" w:rsidRPr="008B4038" w:rsidRDefault="005D175A" w:rsidP="00DA689E">
                              <w:pPr>
                                <w:rPr>
                                  <w:rFonts w:ascii="IBM Plex Sans" w:hAnsi="IBM Plex Sans"/>
                                  <w:b/>
                                </w:rPr>
                              </w:pPr>
                              <w:r w:rsidRPr="008B4038">
                                <w:rPr>
                                  <w:rFonts w:ascii="IBM Plex Sans" w:hAnsi="IBM Plex Sans"/>
                                  <w:b/>
                                </w:rPr>
                                <w:t>nie</w:t>
                              </w:r>
                            </w:p>
                          </w:txbxContent>
                        </v:textbox>
                      </v:shape>
                    </v:group>
                  </w:pict>
                </mc:Fallback>
              </mc:AlternateContent>
            </w:r>
          </w:p>
        </w:tc>
      </w:tr>
      <w:tr w:rsidR="005D175A" w:rsidRPr="005E7DF6" w14:paraId="40A479DA" w14:textId="77777777" w:rsidTr="008B4038">
        <w:trPr>
          <w:trHeight w:val="272"/>
        </w:trPr>
        <w:tc>
          <w:tcPr>
            <w:tcW w:w="6062" w:type="dxa"/>
            <w:gridSpan w:val="3"/>
            <w:shd w:val="clear" w:color="auto" w:fill="BFBFBF" w:themeFill="background1" w:themeFillShade="BF"/>
          </w:tcPr>
          <w:p w14:paraId="683EC537" w14:textId="77777777" w:rsidR="005D175A" w:rsidRPr="005E7DF6" w:rsidRDefault="005D175A" w:rsidP="005D175A">
            <w:pPr>
              <w:widowControl w:val="0"/>
              <w:tabs>
                <w:tab w:val="left" w:pos="567"/>
                <w:tab w:val="left" w:pos="1134"/>
                <w:tab w:val="left" w:pos="1701"/>
                <w:tab w:val="left" w:pos="2268"/>
              </w:tabs>
              <w:rPr>
                <w:rFonts w:ascii="IBM Plex Sans Light" w:eastAsia="Calibri" w:hAnsi="IBM Plex Sans Light"/>
                <w:color w:val="000000"/>
              </w:rPr>
            </w:pPr>
            <w:r w:rsidRPr="005E7DF6">
              <w:rPr>
                <w:rFonts w:ascii="IBM Plex Sans Light" w:eastAsia="Calibri" w:hAnsi="IBM Plex Sans Light"/>
                <w:b/>
                <w:bCs/>
              </w:rPr>
              <w:t xml:space="preserve">11. </w:t>
            </w:r>
            <w:r w:rsidRPr="005E7DF6">
              <w:rPr>
                <w:rFonts w:ascii="IBM Plex Sans Light" w:eastAsia="Calibri" w:hAnsi="IBM Plex Sans Light"/>
                <w:color w:val="000000"/>
              </w:rPr>
              <w:t xml:space="preserve">Przedsiębiorstwa pozostające w jednym z takich związków </w:t>
            </w:r>
            <w:r w:rsidRPr="005E7DF6">
              <w:rPr>
                <w:rFonts w:ascii="IBM Plex Sans Light" w:eastAsia="Calibri" w:hAnsi="IBM Plex Sans Light"/>
                <w:color w:val="000000"/>
                <w:vertAlign w:val="superscript"/>
              </w:rPr>
              <w:t>4a</w:t>
            </w:r>
            <w:r w:rsidRPr="005E7DF6">
              <w:rPr>
                <w:rFonts w:ascii="IBM Plex Sans Light" w:eastAsia="Calibri" w:hAnsi="IBM Plex Sans Light"/>
                <w:color w:val="000000"/>
              </w:rPr>
              <w:t xml:space="preserve"> za pośrednictwem osoby fizycznej lub grupy osób fizycznych działających wspólnie prowadzą swoją działalność lub jej część na tym samym rynku właściwym lub rynkach pokrewnych.</w:t>
            </w:r>
          </w:p>
        </w:tc>
        <w:tc>
          <w:tcPr>
            <w:tcW w:w="1701" w:type="dxa"/>
            <w:shd w:val="clear" w:color="auto" w:fill="auto"/>
          </w:tcPr>
          <w:p w14:paraId="4B20ACDE"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noProof/>
              </w:rPr>
              <mc:AlternateContent>
                <mc:Choice Requires="wpg">
                  <w:drawing>
                    <wp:anchor distT="0" distB="0" distL="114300" distR="114300" simplePos="0" relativeHeight="251688960" behindDoc="0" locked="0" layoutInCell="1" allowOverlap="1" wp14:anchorId="0E08FAEE" wp14:editId="098F3E40">
                      <wp:simplePos x="0" y="0"/>
                      <wp:positionH relativeFrom="column">
                        <wp:posOffset>61595</wp:posOffset>
                      </wp:positionH>
                      <wp:positionV relativeFrom="paragraph">
                        <wp:posOffset>87630</wp:posOffset>
                      </wp:positionV>
                      <wp:extent cx="1022350" cy="254000"/>
                      <wp:effectExtent l="11430" t="5715" r="4445" b="698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9" name="Text Box 25"/>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243BAA9" w14:textId="77777777" w:rsidR="005D175A" w:rsidRDefault="005D175A" w:rsidP="00DA689E"/>
                                </w:txbxContent>
                              </wps:txbx>
                              <wps:bodyPr rot="0" vert="horz" wrap="square" lIns="91440" tIns="45720" rIns="91440" bIns="45720" anchor="t" anchorCtr="0" upright="1">
                                <a:noAutofit/>
                              </wps:bodyPr>
                            </wps:wsp>
                            <wps:wsp>
                              <wps:cNvPr id="10" name="Text Box 26"/>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82401C" w14:textId="77777777" w:rsidR="005D175A" w:rsidRPr="008B4038" w:rsidRDefault="005D175A" w:rsidP="00DA689E">
                                    <w:pPr>
                                      <w:rPr>
                                        <w:rFonts w:ascii="IBM Plex Sans" w:hAnsi="IBM Plex Sans"/>
                                        <w:b/>
                                      </w:rPr>
                                    </w:pPr>
                                    <w:r w:rsidRPr="008B4038">
                                      <w:rPr>
                                        <w:rFonts w:ascii="IBM Plex Sans" w:hAnsi="IBM Plex Sans"/>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8FAEE" id="Grupa 8" o:spid="_x0000_s1038" style="position:absolute;left:0;text-align:left;margin-left:4.85pt;margin-top:6.9pt;width:80.5pt;height:20pt;z-index:251688960"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">
                      <v:shape id="Text Box 25" o:spid="_x0000_s103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" filled="f" fillcolor="yellow" strokeweight=".25pt">
                        <v:textbox>
                          <w:txbxContent>
                            <w:p w14:paraId="7243BAA9" w14:textId="77777777" w:rsidR="005D175A" w:rsidRDefault="005D175A" w:rsidP="00DA689E"/>
                          </w:txbxContent>
                        </v:textbox>
                      </v:shape>
                      <v:shape id="Text Box 26" o:spid="_x0000_s104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" filled="f" fillcolor="yellow" stroked="f" strokeweight=".25pt">
                        <v:textbox>
                          <w:txbxContent>
                            <w:p w14:paraId="2482401C" w14:textId="77777777" w:rsidR="005D175A" w:rsidRPr="008B4038" w:rsidRDefault="005D175A" w:rsidP="00DA689E">
                              <w:pPr>
                                <w:rPr>
                                  <w:rFonts w:ascii="IBM Plex Sans" w:hAnsi="IBM Plex Sans"/>
                                  <w:b/>
                                </w:rPr>
                              </w:pPr>
                              <w:r w:rsidRPr="008B4038">
                                <w:rPr>
                                  <w:rFonts w:ascii="IBM Plex Sans" w:hAnsi="IBM Plex Sans"/>
                                  <w:b/>
                                </w:rPr>
                                <w:t>tak</w:t>
                              </w:r>
                            </w:p>
                          </w:txbxContent>
                        </v:textbox>
                      </v:shape>
                    </v:group>
                  </w:pict>
                </mc:Fallback>
              </mc:AlternateContent>
            </w:r>
          </w:p>
        </w:tc>
        <w:tc>
          <w:tcPr>
            <w:tcW w:w="1701" w:type="dxa"/>
            <w:shd w:val="clear" w:color="auto" w:fill="auto"/>
          </w:tcPr>
          <w:p w14:paraId="3F948AFA" w14:textId="77777777" w:rsidR="005D175A" w:rsidRPr="005E7DF6" w:rsidRDefault="005D175A" w:rsidP="005D175A">
            <w:pPr>
              <w:jc w:val="both"/>
              <w:rPr>
                <w:rFonts w:ascii="IBM Plex Sans Light" w:eastAsia="Calibri" w:hAnsi="IBM Plex Sans Light"/>
                <w:lang w:eastAsia="x-none"/>
              </w:rPr>
            </w:pPr>
            <w:r w:rsidRPr="005E7DF6">
              <w:rPr>
                <w:rFonts w:ascii="IBM Plex Sans Light" w:eastAsia="Calibri" w:hAnsi="IBM Plex Sans Light"/>
                <w:noProof/>
              </w:rPr>
              <mc:AlternateContent>
                <mc:Choice Requires="wpg">
                  <w:drawing>
                    <wp:anchor distT="0" distB="0" distL="114300" distR="114300" simplePos="0" relativeHeight="251689984" behindDoc="0" locked="0" layoutInCell="1" allowOverlap="1" wp14:anchorId="5753E328" wp14:editId="483E616E">
                      <wp:simplePos x="0" y="0"/>
                      <wp:positionH relativeFrom="column">
                        <wp:posOffset>21590</wp:posOffset>
                      </wp:positionH>
                      <wp:positionV relativeFrom="paragraph">
                        <wp:posOffset>87630</wp:posOffset>
                      </wp:positionV>
                      <wp:extent cx="1009650" cy="254000"/>
                      <wp:effectExtent l="0" t="0" r="0" b="1270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6" name="Text Box 28"/>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76070BF" w14:textId="22A7F9F4" w:rsidR="005D175A" w:rsidRDefault="005D175A" w:rsidP="00DA689E"/>
                                </w:txbxContent>
                              </wps:txbx>
                              <wps:bodyPr rot="0" vert="horz" wrap="square" lIns="91440" tIns="45720" rIns="91440" bIns="45720" anchor="t" anchorCtr="0" upright="1">
                                <a:noAutofit/>
                              </wps:bodyPr>
                            </wps:wsp>
                            <wps:wsp>
                              <wps:cNvPr id="7" name="Text Box 29"/>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DBD46F" w14:textId="77777777" w:rsidR="005D175A" w:rsidRPr="008B4038" w:rsidRDefault="005D175A" w:rsidP="00DA689E">
                                    <w:pPr>
                                      <w:rPr>
                                        <w:rFonts w:ascii="IBM Plex Sans" w:hAnsi="IBM Plex Sans"/>
                                        <w:b/>
                                      </w:rPr>
                                    </w:pPr>
                                    <w:r w:rsidRPr="008B4038">
                                      <w:rPr>
                                        <w:rFonts w:ascii="IBM Plex Sans" w:hAnsi="IBM Plex Sans"/>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3E328" id="Grupa 5" o:spid="_x0000_s1041" style="position:absolute;left:0;text-align:left;margin-left:1.7pt;margin-top:6.9pt;width:79.5pt;height:20pt;z-index:251689984"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">
                      <v:shape id="Text Box 28" o:spid="_x0000_s104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" filled="f" fillcolor="yellow" strokeweight=".25pt">
                        <v:textbox>
                          <w:txbxContent>
                            <w:p w14:paraId="076070BF" w14:textId="22A7F9F4" w:rsidR="005D175A" w:rsidRDefault="005D175A" w:rsidP="00DA689E"/>
                          </w:txbxContent>
                        </v:textbox>
                      </v:shape>
                      <v:shape id="Text Box 29" o:spid="_x0000_s104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" filled="f" fillcolor="yellow" stroked="f" strokeweight=".25pt">
                        <v:textbox>
                          <w:txbxContent>
                            <w:p w14:paraId="27DBD46F" w14:textId="77777777" w:rsidR="005D175A" w:rsidRPr="008B4038" w:rsidRDefault="005D175A" w:rsidP="00DA689E">
                              <w:pPr>
                                <w:rPr>
                                  <w:rFonts w:ascii="IBM Plex Sans" w:hAnsi="IBM Plex Sans"/>
                                  <w:b/>
                                </w:rPr>
                              </w:pPr>
                              <w:r w:rsidRPr="008B4038">
                                <w:rPr>
                                  <w:rFonts w:ascii="IBM Plex Sans" w:hAnsi="IBM Plex Sans"/>
                                  <w:b/>
                                </w:rPr>
                                <w:t>nie</w:t>
                              </w:r>
                            </w:p>
                          </w:txbxContent>
                        </v:textbox>
                      </v:shape>
                    </v:group>
                  </w:pict>
                </mc:Fallback>
              </mc:AlternateContent>
            </w:r>
          </w:p>
        </w:tc>
      </w:tr>
    </w:tbl>
    <w:p w14:paraId="4DCBEE4B" w14:textId="77777777" w:rsidR="008B4038" w:rsidRPr="005E7DF6" w:rsidRDefault="008B4038" w:rsidP="006725CE">
      <w:pPr>
        <w:jc w:val="both"/>
        <w:rPr>
          <w:rFonts w:ascii="IBM Plex Sans Light" w:hAnsi="IBM Plex Sans Light"/>
          <w:lang w:eastAsia="x-none"/>
        </w:rPr>
      </w:pPr>
    </w:p>
    <w:p w14:paraId="4F6993B8" w14:textId="77777777" w:rsidR="008B4038" w:rsidRPr="005E7DF6" w:rsidRDefault="008B4038" w:rsidP="006725CE">
      <w:pPr>
        <w:jc w:val="both"/>
        <w:rPr>
          <w:rFonts w:ascii="IBM Plex Sans Light" w:hAnsi="IBM Plex Sans Light"/>
          <w:lang w:eastAsia="x-none"/>
        </w:rPr>
      </w:pPr>
    </w:p>
    <w:p w14:paraId="52AB4D7D" w14:textId="7DB9016B" w:rsidR="00DA689E" w:rsidRPr="003B109D" w:rsidRDefault="0004505C" w:rsidP="003B109D">
      <w:pPr>
        <w:jc w:val="both"/>
        <w:rPr>
          <w:rFonts w:ascii="IBM Plex Sans Light" w:hAnsi="IBM Plex Sans Light"/>
          <w:b/>
          <w:bCs/>
          <w:lang w:eastAsia="x-none"/>
        </w:rPr>
      </w:pPr>
      <w:r w:rsidRPr="005E7DF6">
        <w:rPr>
          <w:rFonts w:ascii="IBM Plex Sans Light" w:hAnsi="IBM Plex Sans Light"/>
          <w:b/>
          <w:bCs/>
          <w:lang w:eastAsia="x-none"/>
        </w:rPr>
        <w:t xml:space="preserve">Tabela 2. DANE </w:t>
      </w:r>
      <w:r w:rsidR="008B4038" w:rsidRPr="005E7DF6">
        <w:rPr>
          <w:rFonts w:ascii="IBM Plex Sans Light" w:hAnsi="IBM Plex Sans Light"/>
          <w:b/>
          <w:bCs/>
          <w:lang w:eastAsia="x-none"/>
        </w:rPr>
        <w:t>ZGŁOSZENIODAWCY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86"/>
        <w:gridCol w:w="1787"/>
        <w:gridCol w:w="1787"/>
      </w:tblGrid>
      <w:tr w:rsidR="00DA689E" w:rsidRPr="005E7DF6" w14:paraId="45862DC8" w14:textId="77777777" w:rsidTr="008B4038">
        <w:tc>
          <w:tcPr>
            <w:tcW w:w="9324" w:type="dxa"/>
            <w:gridSpan w:val="4"/>
            <w:shd w:val="clear" w:color="auto" w:fill="BFBFBF" w:themeFill="background1" w:themeFillShade="BF"/>
          </w:tcPr>
          <w:p w14:paraId="313125DC" w14:textId="7BB0BA59" w:rsidR="00DA689E" w:rsidRPr="005E7DF6" w:rsidRDefault="008B4038" w:rsidP="00737B74">
            <w:pPr>
              <w:spacing w:before="120" w:after="120" w:line="276" w:lineRule="auto"/>
              <w:jc w:val="both"/>
              <w:rPr>
                <w:rFonts w:ascii="IBM Plex Sans Light" w:eastAsia="Calibri" w:hAnsi="IBM Plex Sans Light"/>
                <w:i/>
              </w:rPr>
            </w:pPr>
            <w:r w:rsidRPr="005E7DF6">
              <w:rPr>
                <w:rFonts w:ascii="IBM Plex Sans Light" w:eastAsia="Calibri" w:hAnsi="IBM Plex Sans Light"/>
                <w:b/>
                <w:lang w:eastAsia="x-none"/>
              </w:rPr>
              <w:t>Zgłoszeniodawca</w:t>
            </w:r>
          </w:p>
        </w:tc>
      </w:tr>
      <w:tr w:rsidR="005D175A" w:rsidRPr="005E7DF6" w14:paraId="1CFEF1AC" w14:textId="77777777" w:rsidTr="008B4038">
        <w:tc>
          <w:tcPr>
            <w:tcW w:w="3964" w:type="dxa"/>
            <w:shd w:val="clear" w:color="auto" w:fill="BFBFBF" w:themeFill="background1" w:themeFillShade="BF"/>
          </w:tcPr>
          <w:p w14:paraId="479728B9" w14:textId="77777777" w:rsidR="005D175A" w:rsidRPr="005E7DF6" w:rsidRDefault="005D175A" w:rsidP="005D175A">
            <w:pPr>
              <w:spacing w:line="276" w:lineRule="auto"/>
              <w:rPr>
                <w:rFonts w:ascii="IBM Plex Sans Light" w:eastAsia="Calibri" w:hAnsi="IBM Plex Sans Light"/>
                <w:b/>
              </w:rPr>
            </w:pPr>
            <w:r w:rsidRPr="005E7DF6">
              <w:rPr>
                <w:rFonts w:ascii="IBM Plex Sans Light" w:eastAsia="Calibri" w:hAnsi="IBM Plex Sans Light"/>
                <w:b/>
              </w:rPr>
              <w:t>Dane stosowane do określenia kategorii MŚP</w:t>
            </w:r>
          </w:p>
        </w:tc>
        <w:tc>
          <w:tcPr>
            <w:tcW w:w="1786" w:type="dxa"/>
            <w:shd w:val="clear" w:color="auto" w:fill="BFBFBF" w:themeFill="background1" w:themeFillShade="BF"/>
            <w:vAlign w:val="center"/>
          </w:tcPr>
          <w:p w14:paraId="60628343"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3E528991" w14:textId="74E7C02C"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253628A3" w14:textId="7F744C8C"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7" w:type="dxa"/>
            <w:shd w:val="clear" w:color="auto" w:fill="BFBFBF" w:themeFill="background1" w:themeFillShade="BF"/>
            <w:vAlign w:val="center"/>
          </w:tcPr>
          <w:p w14:paraId="262BBA82"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769EC7F8" w14:textId="79C4509E"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075FC9BB" w14:textId="446A5E85"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7" w:type="dxa"/>
            <w:shd w:val="clear" w:color="auto" w:fill="BFBFBF" w:themeFill="background1" w:themeFillShade="BF"/>
            <w:vAlign w:val="center"/>
          </w:tcPr>
          <w:p w14:paraId="321CE2A8"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19301256" w14:textId="7B55A851"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7FE8B1EE" w14:textId="643C35C5"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r>
      <w:tr w:rsidR="00DA689E" w:rsidRPr="005E7DF6" w14:paraId="1AFD17C1" w14:textId="77777777" w:rsidTr="00FD229E">
        <w:tc>
          <w:tcPr>
            <w:tcW w:w="3964" w:type="dxa"/>
            <w:shd w:val="clear" w:color="auto" w:fill="BFBFBF" w:themeFill="background1" w:themeFillShade="BF"/>
          </w:tcPr>
          <w:p w14:paraId="7B8A1C63" w14:textId="469A914D" w:rsidR="00DA689E" w:rsidRPr="005E7DF6" w:rsidRDefault="00DA689E" w:rsidP="008A023A">
            <w:pPr>
              <w:spacing w:line="276" w:lineRule="auto"/>
              <w:rPr>
                <w:rFonts w:ascii="IBM Plex Sans Light" w:eastAsia="Calibri" w:hAnsi="IBM Plex Sans Light"/>
                <w:b/>
              </w:rPr>
            </w:pPr>
            <w:r w:rsidRPr="005E7DF6">
              <w:rPr>
                <w:rFonts w:ascii="IBM Plex Sans Light" w:eastAsia="Calibri" w:hAnsi="IBM Plex Sans Light"/>
                <w:b/>
              </w:rPr>
              <w:t>Wielkość zatrudnienia</w:t>
            </w:r>
            <w:r w:rsidR="008B4038" w:rsidRPr="005E7DF6">
              <w:rPr>
                <w:rFonts w:ascii="IBM Plex Sans Light" w:eastAsia="Calibri" w:hAnsi="IBM Plex Sans Light"/>
                <w:bCs/>
                <w:vertAlign w:val="superscript"/>
              </w:rPr>
              <w:t>6</w:t>
            </w:r>
            <w:r w:rsidRPr="005E7DF6">
              <w:rPr>
                <w:rFonts w:ascii="IBM Plex Sans Light" w:eastAsia="Calibri" w:hAnsi="IBM Plex Sans Light"/>
                <w:b/>
              </w:rPr>
              <w:t xml:space="preserve"> </w:t>
            </w:r>
          </w:p>
          <w:p w14:paraId="7C6FF80C" w14:textId="77777777" w:rsidR="00DA689E" w:rsidRPr="005E7DF6" w:rsidRDefault="00DA689E" w:rsidP="008A023A">
            <w:pPr>
              <w:spacing w:line="276" w:lineRule="auto"/>
              <w:rPr>
                <w:rFonts w:ascii="IBM Plex Sans Light" w:eastAsia="Calibri" w:hAnsi="IBM Plex Sans Light"/>
                <w:i/>
                <w:sz w:val="20"/>
                <w:szCs w:val="20"/>
              </w:rPr>
            </w:pPr>
            <w:r w:rsidRPr="005E7DF6">
              <w:rPr>
                <w:rFonts w:ascii="IBM Plex Sans Light" w:eastAsia="Calibri" w:hAnsi="IBM Plex Sans Light"/>
                <w:i/>
                <w:sz w:val="20"/>
                <w:szCs w:val="20"/>
              </w:rPr>
              <w:t>(w Roboczych Jednostkach Pracy)</w:t>
            </w:r>
          </w:p>
        </w:tc>
        <w:tc>
          <w:tcPr>
            <w:tcW w:w="1786" w:type="dxa"/>
            <w:shd w:val="clear" w:color="auto" w:fill="auto"/>
            <w:vAlign w:val="center"/>
          </w:tcPr>
          <w:p w14:paraId="6E8BEEC0"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0953287A"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56447303" w14:textId="77777777" w:rsidR="00DA689E" w:rsidRPr="005E7DF6" w:rsidRDefault="00DA689E" w:rsidP="00FD229E">
            <w:pPr>
              <w:spacing w:line="276" w:lineRule="auto"/>
              <w:jc w:val="center"/>
              <w:rPr>
                <w:rFonts w:ascii="IBM Plex Sans Light" w:eastAsia="Calibri" w:hAnsi="IBM Plex Sans Light"/>
                <w:b/>
              </w:rPr>
            </w:pPr>
          </w:p>
        </w:tc>
      </w:tr>
      <w:tr w:rsidR="00DA689E" w:rsidRPr="005E7DF6" w14:paraId="1A6D8492" w14:textId="77777777" w:rsidTr="00FD229E">
        <w:tc>
          <w:tcPr>
            <w:tcW w:w="3964" w:type="dxa"/>
            <w:shd w:val="clear" w:color="auto" w:fill="BFBFBF" w:themeFill="background1" w:themeFillShade="BF"/>
          </w:tcPr>
          <w:p w14:paraId="4D5F2A85" w14:textId="56EEFFE4" w:rsidR="008B4038" w:rsidRPr="005E7DF6" w:rsidRDefault="00DA689E" w:rsidP="008A023A">
            <w:pPr>
              <w:spacing w:line="276" w:lineRule="auto"/>
              <w:rPr>
                <w:rFonts w:ascii="IBM Plex Sans Light" w:eastAsia="Calibri" w:hAnsi="IBM Plex Sans Light"/>
                <w:b/>
              </w:rPr>
            </w:pPr>
            <w:r w:rsidRPr="005E7DF6">
              <w:rPr>
                <w:rFonts w:ascii="IBM Plex Sans Light" w:eastAsia="Calibri" w:hAnsi="IBM Plex Sans Light"/>
                <w:b/>
              </w:rPr>
              <w:t>Obroty ze sprzedaży netto</w:t>
            </w:r>
            <w:r w:rsidR="008B4038" w:rsidRPr="005E7DF6">
              <w:rPr>
                <w:rFonts w:ascii="IBM Plex Sans Light" w:eastAsia="Calibri" w:hAnsi="IBM Plex Sans Light"/>
                <w:bCs/>
                <w:vertAlign w:val="superscript"/>
              </w:rPr>
              <w:t>7</w:t>
            </w:r>
            <w:r w:rsidRPr="005E7DF6">
              <w:rPr>
                <w:rFonts w:ascii="IBM Plex Sans Light" w:eastAsia="Calibri" w:hAnsi="IBM Plex Sans Light"/>
                <w:b/>
              </w:rPr>
              <w:t xml:space="preserve"> </w:t>
            </w:r>
          </w:p>
          <w:p w14:paraId="7A84FC89" w14:textId="6A2C6342" w:rsidR="00DA689E" w:rsidRPr="005E7DF6" w:rsidRDefault="00DA689E" w:rsidP="008A023A">
            <w:pPr>
              <w:spacing w:line="276" w:lineRule="auto"/>
              <w:rPr>
                <w:rFonts w:ascii="IBM Plex Sans Light" w:eastAsia="Calibri" w:hAnsi="IBM Plex Sans Light"/>
                <w:i/>
                <w:sz w:val="20"/>
                <w:szCs w:val="20"/>
                <w:vertAlign w:val="superscript"/>
              </w:rPr>
            </w:pPr>
            <w:r w:rsidRPr="005E7DF6">
              <w:rPr>
                <w:rFonts w:ascii="IBM Plex Sans Light" w:eastAsia="Calibri" w:hAnsi="IBM Plex Sans Light"/>
                <w:i/>
                <w:sz w:val="20"/>
                <w:szCs w:val="20"/>
              </w:rPr>
              <w:t>(w tys. EUR na koniec roku obrotowego)</w:t>
            </w:r>
          </w:p>
        </w:tc>
        <w:tc>
          <w:tcPr>
            <w:tcW w:w="1786" w:type="dxa"/>
            <w:shd w:val="clear" w:color="auto" w:fill="auto"/>
            <w:vAlign w:val="center"/>
          </w:tcPr>
          <w:p w14:paraId="5AD9012A"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520E8997"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12C13DD3" w14:textId="77777777" w:rsidR="00DA689E" w:rsidRPr="005E7DF6" w:rsidRDefault="00DA689E" w:rsidP="00FD229E">
            <w:pPr>
              <w:spacing w:line="276" w:lineRule="auto"/>
              <w:jc w:val="center"/>
              <w:rPr>
                <w:rFonts w:ascii="IBM Plex Sans Light" w:eastAsia="Calibri" w:hAnsi="IBM Plex Sans Light"/>
                <w:b/>
              </w:rPr>
            </w:pPr>
          </w:p>
        </w:tc>
      </w:tr>
      <w:tr w:rsidR="00DA689E" w:rsidRPr="005E7DF6" w14:paraId="5D2C86A8" w14:textId="77777777" w:rsidTr="00FD229E">
        <w:tc>
          <w:tcPr>
            <w:tcW w:w="3964" w:type="dxa"/>
            <w:shd w:val="clear" w:color="auto" w:fill="BFBFBF" w:themeFill="background1" w:themeFillShade="BF"/>
          </w:tcPr>
          <w:p w14:paraId="2D54CE59" w14:textId="77777777" w:rsidR="00FD0214" w:rsidRPr="005E7DF6" w:rsidRDefault="00DA689E" w:rsidP="008A023A">
            <w:pPr>
              <w:spacing w:line="276" w:lineRule="auto"/>
              <w:rPr>
                <w:rFonts w:ascii="IBM Plex Sans Light" w:eastAsia="Calibri" w:hAnsi="IBM Plex Sans Light"/>
                <w:b/>
              </w:rPr>
            </w:pPr>
            <w:r w:rsidRPr="005E7DF6">
              <w:rPr>
                <w:rFonts w:ascii="IBM Plex Sans Light" w:eastAsia="Calibri" w:hAnsi="IBM Plex Sans Light"/>
                <w:b/>
              </w:rPr>
              <w:t xml:space="preserve">Suma aktywów bilansu </w:t>
            </w:r>
          </w:p>
          <w:p w14:paraId="7683A25D" w14:textId="46C276CF" w:rsidR="00DA689E" w:rsidRPr="005E7DF6" w:rsidRDefault="00FD0214" w:rsidP="008A023A">
            <w:pPr>
              <w:spacing w:line="276" w:lineRule="auto"/>
              <w:rPr>
                <w:rFonts w:ascii="IBM Plex Sans Light" w:eastAsia="Calibri" w:hAnsi="IBM Plex Sans Light"/>
                <w:i/>
              </w:rPr>
            </w:pPr>
            <w:r w:rsidRPr="005E7DF6">
              <w:rPr>
                <w:rFonts w:ascii="IBM Plex Sans Light" w:eastAsia="Calibri" w:hAnsi="IBM Plex Sans Light"/>
                <w:i/>
                <w:sz w:val="20"/>
                <w:szCs w:val="20"/>
              </w:rPr>
              <w:t>(w tys. EUR na koniec roku obrotowego)</w:t>
            </w:r>
          </w:p>
        </w:tc>
        <w:tc>
          <w:tcPr>
            <w:tcW w:w="1786" w:type="dxa"/>
            <w:shd w:val="clear" w:color="auto" w:fill="auto"/>
            <w:vAlign w:val="center"/>
          </w:tcPr>
          <w:p w14:paraId="32F8B502"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0A44E4DF" w14:textId="77777777" w:rsidR="00DA689E" w:rsidRPr="005E7DF6" w:rsidRDefault="00DA689E" w:rsidP="00FD229E">
            <w:pPr>
              <w:spacing w:line="276" w:lineRule="auto"/>
              <w:jc w:val="center"/>
              <w:rPr>
                <w:rFonts w:ascii="IBM Plex Sans Light" w:eastAsia="Calibri" w:hAnsi="IBM Plex Sans Light"/>
                <w:b/>
              </w:rPr>
            </w:pPr>
          </w:p>
        </w:tc>
        <w:tc>
          <w:tcPr>
            <w:tcW w:w="1787" w:type="dxa"/>
            <w:shd w:val="clear" w:color="auto" w:fill="auto"/>
            <w:vAlign w:val="center"/>
          </w:tcPr>
          <w:p w14:paraId="100CFC02" w14:textId="77777777" w:rsidR="00DA689E" w:rsidRPr="005E7DF6" w:rsidRDefault="00DA689E" w:rsidP="00FD229E">
            <w:pPr>
              <w:spacing w:line="276" w:lineRule="auto"/>
              <w:jc w:val="center"/>
              <w:rPr>
                <w:rFonts w:ascii="IBM Plex Sans Light" w:eastAsia="Calibri" w:hAnsi="IBM Plex Sans Light"/>
                <w:b/>
              </w:rPr>
            </w:pPr>
          </w:p>
        </w:tc>
      </w:tr>
    </w:tbl>
    <w:p w14:paraId="1036C223" w14:textId="77777777" w:rsidR="00DA689E" w:rsidRPr="005E7DF6" w:rsidRDefault="00DA689E" w:rsidP="00DA689E">
      <w:pPr>
        <w:spacing w:line="276" w:lineRule="auto"/>
        <w:jc w:val="both"/>
        <w:rPr>
          <w:rFonts w:ascii="IBM Plex Sans Light" w:hAnsi="IBM Plex Sans Light"/>
          <w:b/>
          <w:sz w:val="20"/>
          <w:szCs w:val="20"/>
        </w:rPr>
      </w:pPr>
    </w:p>
    <w:p w14:paraId="7BD3A199" w14:textId="77777777" w:rsidR="00371FD4" w:rsidRDefault="00371FD4">
      <w:pPr>
        <w:rPr>
          <w:rFonts w:ascii="IBM Plex Sans Light" w:hAnsi="IBM Plex Sans Light"/>
          <w:b/>
          <w:bCs/>
          <w:lang w:eastAsia="x-none"/>
        </w:rPr>
      </w:pPr>
      <w:r>
        <w:rPr>
          <w:rFonts w:ascii="IBM Plex Sans Light" w:hAnsi="IBM Plex Sans Light"/>
          <w:b/>
          <w:bCs/>
          <w:lang w:eastAsia="x-none"/>
        </w:rPr>
        <w:br w:type="page"/>
      </w:r>
    </w:p>
    <w:p w14:paraId="586DC1C4" w14:textId="3D785DC2" w:rsidR="00DA689E" w:rsidRPr="003B109D" w:rsidRDefault="008B4038" w:rsidP="003B109D">
      <w:pPr>
        <w:jc w:val="both"/>
        <w:rPr>
          <w:rFonts w:ascii="IBM Plex Sans Light" w:hAnsi="IBM Plex Sans Light"/>
          <w:b/>
          <w:bCs/>
          <w:lang w:eastAsia="x-none"/>
        </w:rPr>
      </w:pPr>
      <w:r w:rsidRPr="005E7DF6">
        <w:rPr>
          <w:rFonts w:ascii="IBM Plex Sans Light" w:hAnsi="IBM Plex Sans Light"/>
          <w:b/>
          <w:bCs/>
          <w:lang w:eastAsia="x-none"/>
        </w:rPr>
        <w:lastRenderedPageBreak/>
        <w:t>Tabela 3. DANE PRZEDSIĘBIORSTWA PARTNERSKIEGO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81"/>
        <w:gridCol w:w="1782"/>
        <w:gridCol w:w="1782"/>
      </w:tblGrid>
      <w:tr w:rsidR="008B4038" w:rsidRPr="005E7DF6" w14:paraId="3D9B6023" w14:textId="77777777" w:rsidTr="008B4038">
        <w:tc>
          <w:tcPr>
            <w:tcW w:w="3964" w:type="dxa"/>
            <w:shd w:val="clear" w:color="auto" w:fill="BFBFBF" w:themeFill="background1" w:themeFillShade="BF"/>
          </w:tcPr>
          <w:p w14:paraId="3222FA11" w14:textId="5AAE5EC8" w:rsidR="008B4038" w:rsidRPr="005E7DF6" w:rsidRDefault="008B4038" w:rsidP="008B4038">
            <w:pPr>
              <w:rPr>
                <w:rFonts w:ascii="IBM Plex Sans Light" w:eastAsia="Calibri" w:hAnsi="IBM Plex Sans Light"/>
                <w:b/>
                <w:lang w:eastAsia="x-none"/>
              </w:rPr>
            </w:pPr>
            <w:r w:rsidRPr="005E7DF6">
              <w:rPr>
                <w:rFonts w:ascii="IBM Plex Sans Light" w:eastAsia="Calibri" w:hAnsi="IBM Plex Sans Light"/>
                <w:b/>
                <w:lang w:eastAsia="x-none"/>
              </w:rPr>
              <w:t>Przedsiębiorstwo partnerskie</w:t>
            </w:r>
          </w:p>
          <w:p w14:paraId="277E6582" w14:textId="5AE98511" w:rsidR="008B4038" w:rsidRPr="005E7DF6" w:rsidRDefault="008B4038" w:rsidP="008B4038">
            <w:pPr>
              <w:spacing w:line="276" w:lineRule="auto"/>
              <w:rPr>
                <w:rFonts w:ascii="IBM Plex Sans Light" w:eastAsia="Calibri" w:hAnsi="IBM Plex Sans Light"/>
                <w:i/>
                <w:sz w:val="20"/>
                <w:szCs w:val="20"/>
              </w:rPr>
            </w:pPr>
            <w:r w:rsidRPr="005E7DF6">
              <w:rPr>
                <w:rFonts w:ascii="IBM Plex Sans Light" w:eastAsia="Calibri" w:hAnsi="IBM Plex Sans Light"/>
                <w:i/>
                <w:sz w:val="20"/>
                <w:szCs w:val="20"/>
              </w:rPr>
              <w:t>(wpisać pełną nazwę zgodnie z dokumentem rejestrowym</w:t>
            </w:r>
            <w:r w:rsidR="00FD0214" w:rsidRPr="005E7DF6">
              <w:rPr>
                <w:rFonts w:ascii="IBM Plex Sans Light" w:eastAsia="Calibri" w:hAnsi="IBM Plex Sans Light"/>
                <w:i/>
                <w:sz w:val="20"/>
                <w:szCs w:val="20"/>
              </w:rPr>
              <w:t>, NIP, KRS</w:t>
            </w:r>
            <w:r w:rsidRPr="005E7DF6">
              <w:rPr>
                <w:rFonts w:ascii="IBM Plex Sans Light" w:eastAsia="Calibri" w:hAnsi="IBM Plex Sans Light"/>
                <w:i/>
                <w:sz w:val="20"/>
                <w:szCs w:val="20"/>
              </w:rPr>
              <w:t>)</w:t>
            </w:r>
          </w:p>
        </w:tc>
        <w:tc>
          <w:tcPr>
            <w:tcW w:w="5345" w:type="dxa"/>
            <w:gridSpan w:val="3"/>
            <w:shd w:val="clear" w:color="auto" w:fill="auto"/>
          </w:tcPr>
          <w:p w14:paraId="6CC0DAEB" w14:textId="54C86959" w:rsidR="008B4038" w:rsidRPr="005E7DF6" w:rsidRDefault="008B4038" w:rsidP="008A023A">
            <w:pPr>
              <w:spacing w:line="276" w:lineRule="auto"/>
              <w:jc w:val="both"/>
              <w:rPr>
                <w:rFonts w:ascii="IBM Plex Sans Light" w:eastAsia="Calibri" w:hAnsi="IBM Plex Sans Light"/>
                <w:b/>
              </w:rPr>
            </w:pPr>
          </w:p>
        </w:tc>
      </w:tr>
      <w:tr w:rsidR="008B4038" w:rsidRPr="005E7DF6" w14:paraId="5243525D" w14:textId="77777777" w:rsidTr="008B4038">
        <w:tc>
          <w:tcPr>
            <w:tcW w:w="3964" w:type="dxa"/>
            <w:shd w:val="clear" w:color="auto" w:fill="BFBFBF" w:themeFill="background1" w:themeFillShade="BF"/>
          </w:tcPr>
          <w:p w14:paraId="1A4ED85A" w14:textId="77777777" w:rsidR="008B4038" w:rsidRPr="005E7DF6" w:rsidRDefault="008B4038" w:rsidP="008B4038">
            <w:pPr>
              <w:rPr>
                <w:rFonts w:ascii="IBM Plex Sans Light" w:eastAsia="Calibri" w:hAnsi="IBM Plex Sans Light"/>
                <w:b/>
                <w:lang w:eastAsia="x-none"/>
              </w:rPr>
            </w:pPr>
            <w:r w:rsidRPr="005E7DF6">
              <w:rPr>
                <w:rFonts w:ascii="IBM Plex Sans Light" w:eastAsia="Calibri" w:hAnsi="IBM Plex Sans Light"/>
                <w:b/>
                <w:lang w:eastAsia="x-none"/>
              </w:rPr>
              <w:t xml:space="preserve">Data rozpoczęcia działalności </w:t>
            </w:r>
            <w:r w:rsidRPr="005E7DF6">
              <w:rPr>
                <w:rFonts w:ascii="IBM Plex Sans Light" w:eastAsia="Calibri" w:hAnsi="IBM Plex Sans Light"/>
                <w:i/>
                <w:sz w:val="20"/>
                <w:szCs w:val="20"/>
                <w:lang w:eastAsia="x-none"/>
              </w:rPr>
              <w:t>(miesiąc, rok)</w:t>
            </w:r>
          </w:p>
        </w:tc>
        <w:tc>
          <w:tcPr>
            <w:tcW w:w="5345" w:type="dxa"/>
            <w:gridSpan w:val="3"/>
            <w:shd w:val="clear" w:color="auto" w:fill="auto"/>
          </w:tcPr>
          <w:p w14:paraId="0CC3E560" w14:textId="1E46B9B3" w:rsidR="008B4038" w:rsidRPr="005E7DF6" w:rsidRDefault="008B4038" w:rsidP="008A023A">
            <w:pPr>
              <w:jc w:val="both"/>
              <w:rPr>
                <w:rFonts w:ascii="IBM Plex Sans Light" w:eastAsia="Calibri" w:hAnsi="IBM Plex Sans Light"/>
                <w:b/>
                <w:lang w:eastAsia="x-none"/>
              </w:rPr>
            </w:pPr>
          </w:p>
        </w:tc>
      </w:tr>
      <w:tr w:rsidR="00DA689E" w:rsidRPr="005E7DF6" w14:paraId="6D3BFE2A" w14:textId="77777777" w:rsidTr="008B4038">
        <w:tc>
          <w:tcPr>
            <w:tcW w:w="3964" w:type="dxa"/>
            <w:shd w:val="clear" w:color="auto" w:fill="BFBFBF" w:themeFill="background1" w:themeFillShade="BF"/>
          </w:tcPr>
          <w:p w14:paraId="7BBBA65A" w14:textId="77777777" w:rsidR="00DA689E" w:rsidRPr="005E7DF6" w:rsidRDefault="00DA689E" w:rsidP="008B4038">
            <w:pPr>
              <w:spacing w:line="276" w:lineRule="auto"/>
              <w:rPr>
                <w:rFonts w:ascii="IBM Plex Sans Light" w:eastAsia="Calibri" w:hAnsi="IBM Plex Sans Light"/>
                <w:b/>
              </w:rPr>
            </w:pPr>
            <w:r w:rsidRPr="005E7DF6">
              <w:rPr>
                <w:rFonts w:ascii="IBM Plex Sans Light" w:eastAsia="Calibri" w:hAnsi="IBM Plex Sans Light"/>
                <w:b/>
              </w:rPr>
              <w:t xml:space="preserve">Udział w kapitale lub prawie głosu </w:t>
            </w:r>
            <w:r w:rsidRPr="005E7DF6">
              <w:rPr>
                <w:rFonts w:ascii="IBM Plex Sans Light" w:eastAsia="Calibri" w:hAnsi="IBM Plex Sans Light"/>
                <w:i/>
                <w:sz w:val="20"/>
                <w:szCs w:val="20"/>
              </w:rPr>
              <w:t>(w procentach)</w:t>
            </w:r>
          </w:p>
        </w:tc>
        <w:tc>
          <w:tcPr>
            <w:tcW w:w="5345" w:type="dxa"/>
            <w:gridSpan w:val="3"/>
            <w:shd w:val="clear" w:color="auto" w:fill="auto"/>
          </w:tcPr>
          <w:p w14:paraId="68E9D277" w14:textId="77777777" w:rsidR="00DA689E" w:rsidRPr="005E7DF6" w:rsidRDefault="00DA689E" w:rsidP="008A023A">
            <w:pPr>
              <w:widowControl w:val="0"/>
              <w:rPr>
                <w:rFonts w:ascii="IBM Plex Sans Light" w:eastAsia="Calibri" w:hAnsi="IBM Plex Sans Light"/>
              </w:rPr>
            </w:pPr>
          </w:p>
        </w:tc>
      </w:tr>
      <w:tr w:rsidR="005D175A" w:rsidRPr="005E7DF6" w14:paraId="6F02234E" w14:textId="77777777" w:rsidTr="008B4038">
        <w:tc>
          <w:tcPr>
            <w:tcW w:w="3964" w:type="dxa"/>
            <w:shd w:val="clear" w:color="auto" w:fill="BFBFBF" w:themeFill="background1" w:themeFillShade="BF"/>
          </w:tcPr>
          <w:p w14:paraId="3192706B" w14:textId="77777777" w:rsidR="005D175A" w:rsidRPr="005E7DF6" w:rsidRDefault="005D175A" w:rsidP="005D175A">
            <w:pPr>
              <w:spacing w:line="276" w:lineRule="auto"/>
              <w:rPr>
                <w:rFonts w:ascii="IBM Plex Sans Light" w:eastAsia="Calibri" w:hAnsi="IBM Plex Sans Light"/>
                <w:b/>
              </w:rPr>
            </w:pPr>
            <w:r w:rsidRPr="005E7DF6">
              <w:rPr>
                <w:rFonts w:ascii="IBM Plex Sans Light" w:eastAsia="Calibri" w:hAnsi="IBM Plex Sans Light"/>
                <w:b/>
              </w:rPr>
              <w:t>Dane stosowane do określenia kategorii MŚP</w:t>
            </w:r>
          </w:p>
        </w:tc>
        <w:tc>
          <w:tcPr>
            <w:tcW w:w="1781" w:type="dxa"/>
            <w:shd w:val="clear" w:color="auto" w:fill="BFBFBF" w:themeFill="background1" w:themeFillShade="BF"/>
            <w:vAlign w:val="center"/>
          </w:tcPr>
          <w:p w14:paraId="09925C65"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4EEF5799"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5510367B" w14:textId="4F00584E"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2" w:type="dxa"/>
            <w:shd w:val="clear" w:color="auto" w:fill="BFBFBF" w:themeFill="background1" w:themeFillShade="BF"/>
            <w:vAlign w:val="center"/>
          </w:tcPr>
          <w:p w14:paraId="093DB86F"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1FD93C57"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26C928B7" w14:textId="6BEC8A0E"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2" w:type="dxa"/>
            <w:shd w:val="clear" w:color="auto" w:fill="BFBFBF" w:themeFill="background1" w:themeFillShade="BF"/>
            <w:vAlign w:val="center"/>
          </w:tcPr>
          <w:p w14:paraId="7CFF1003"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60164397"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3DAE9E77" w14:textId="512BE57A"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r>
      <w:tr w:rsidR="00FD0214" w:rsidRPr="005E7DF6" w14:paraId="49EA16A2" w14:textId="77777777" w:rsidTr="00FD229E">
        <w:tc>
          <w:tcPr>
            <w:tcW w:w="3964" w:type="dxa"/>
            <w:shd w:val="clear" w:color="auto" w:fill="BFBFBF" w:themeFill="background1" w:themeFillShade="BF"/>
          </w:tcPr>
          <w:p w14:paraId="0EB56C67" w14:textId="77777777" w:rsidR="00FD0214" w:rsidRPr="005E7DF6" w:rsidRDefault="00FD0214" w:rsidP="00FD0214">
            <w:pPr>
              <w:spacing w:line="276" w:lineRule="auto"/>
              <w:rPr>
                <w:rFonts w:ascii="IBM Plex Sans Light" w:eastAsia="Calibri" w:hAnsi="IBM Plex Sans Light"/>
                <w:b/>
              </w:rPr>
            </w:pPr>
            <w:r w:rsidRPr="005E7DF6">
              <w:rPr>
                <w:rFonts w:ascii="IBM Plex Sans Light" w:eastAsia="Calibri" w:hAnsi="IBM Plex Sans Light"/>
                <w:b/>
              </w:rPr>
              <w:t>Wielkość zatrudnienia</w:t>
            </w:r>
            <w:r w:rsidRPr="005E7DF6">
              <w:rPr>
                <w:rFonts w:ascii="IBM Plex Sans Light" w:eastAsia="Calibri" w:hAnsi="IBM Plex Sans Light"/>
                <w:bCs/>
                <w:vertAlign w:val="superscript"/>
              </w:rPr>
              <w:t>6</w:t>
            </w:r>
            <w:r w:rsidRPr="005E7DF6">
              <w:rPr>
                <w:rFonts w:ascii="IBM Plex Sans Light" w:eastAsia="Calibri" w:hAnsi="IBM Plex Sans Light"/>
                <w:b/>
              </w:rPr>
              <w:t xml:space="preserve"> </w:t>
            </w:r>
          </w:p>
          <w:p w14:paraId="40114CA4" w14:textId="610C6962" w:rsidR="00FD0214" w:rsidRPr="005E7DF6" w:rsidRDefault="00FD0214" w:rsidP="00FD0214">
            <w:pPr>
              <w:spacing w:line="276" w:lineRule="auto"/>
              <w:rPr>
                <w:rFonts w:ascii="IBM Plex Sans Light" w:eastAsia="Calibri" w:hAnsi="IBM Plex Sans Light"/>
                <w:i/>
              </w:rPr>
            </w:pPr>
            <w:r w:rsidRPr="005E7DF6">
              <w:rPr>
                <w:rFonts w:ascii="IBM Plex Sans Light" w:eastAsia="Calibri" w:hAnsi="IBM Plex Sans Light"/>
                <w:i/>
                <w:sz w:val="20"/>
                <w:szCs w:val="20"/>
              </w:rPr>
              <w:t>(w Roboczych Jednostkach Pracy)</w:t>
            </w:r>
          </w:p>
        </w:tc>
        <w:tc>
          <w:tcPr>
            <w:tcW w:w="1781" w:type="dxa"/>
            <w:shd w:val="clear" w:color="auto" w:fill="auto"/>
            <w:vAlign w:val="center"/>
          </w:tcPr>
          <w:p w14:paraId="72B5F93B"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4A273B7A"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5E2198A7" w14:textId="77777777" w:rsidR="00FD0214" w:rsidRPr="005E7DF6" w:rsidRDefault="00FD0214" w:rsidP="00FD229E">
            <w:pPr>
              <w:spacing w:line="276" w:lineRule="auto"/>
              <w:jc w:val="center"/>
              <w:rPr>
                <w:rFonts w:ascii="IBM Plex Sans Light" w:eastAsia="Calibri" w:hAnsi="IBM Plex Sans Light"/>
                <w:b/>
              </w:rPr>
            </w:pPr>
          </w:p>
        </w:tc>
      </w:tr>
      <w:tr w:rsidR="00FD0214" w:rsidRPr="005E7DF6" w14:paraId="4D7394B2" w14:textId="77777777" w:rsidTr="00FD229E">
        <w:tc>
          <w:tcPr>
            <w:tcW w:w="3964" w:type="dxa"/>
            <w:shd w:val="clear" w:color="auto" w:fill="BFBFBF" w:themeFill="background1" w:themeFillShade="BF"/>
          </w:tcPr>
          <w:p w14:paraId="3EF7085E" w14:textId="77777777" w:rsidR="00FD0214" w:rsidRPr="005E7DF6" w:rsidRDefault="00FD0214" w:rsidP="00FD0214">
            <w:pPr>
              <w:spacing w:line="276" w:lineRule="auto"/>
              <w:rPr>
                <w:rFonts w:ascii="IBM Plex Sans Light" w:eastAsia="Calibri" w:hAnsi="IBM Plex Sans Light"/>
                <w:b/>
              </w:rPr>
            </w:pPr>
            <w:r w:rsidRPr="005E7DF6">
              <w:rPr>
                <w:rFonts w:ascii="IBM Plex Sans Light" w:eastAsia="Calibri" w:hAnsi="IBM Plex Sans Light"/>
                <w:b/>
              </w:rPr>
              <w:t>Obroty ze sprzedaży netto</w:t>
            </w:r>
            <w:r w:rsidRPr="005E7DF6">
              <w:rPr>
                <w:rFonts w:ascii="IBM Plex Sans Light" w:eastAsia="Calibri" w:hAnsi="IBM Plex Sans Light"/>
                <w:bCs/>
                <w:vertAlign w:val="superscript"/>
              </w:rPr>
              <w:t>7</w:t>
            </w:r>
            <w:r w:rsidRPr="005E7DF6">
              <w:rPr>
                <w:rFonts w:ascii="IBM Plex Sans Light" w:eastAsia="Calibri" w:hAnsi="IBM Plex Sans Light"/>
                <w:b/>
              </w:rPr>
              <w:t xml:space="preserve"> </w:t>
            </w:r>
          </w:p>
          <w:p w14:paraId="34732822" w14:textId="2608DA76" w:rsidR="00FD0214" w:rsidRPr="005E7DF6" w:rsidRDefault="00FD0214" w:rsidP="00FD0214">
            <w:pPr>
              <w:spacing w:line="276" w:lineRule="auto"/>
              <w:rPr>
                <w:rFonts w:ascii="IBM Plex Sans Light" w:eastAsia="Calibri" w:hAnsi="IBM Plex Sans Light"/>
                <w:i/>
                <w:vertAlign w:val="superscript"/>
              </w:rPr>
            </w:pPr>
            <w:r w:rsidRPr="005E7DF6">
              <w:rPr>
                <w:rFonts w:ascii="IBM Plex Sans Light" w:eastAsia="Calibri" w:hAnsi="IBM Plex Sans Light"/>
                <w:i/>
                <w:sz w:val="20"/>
                <w:szCs w:val="20"/>
              </w:rPr>
              <w:t>(w tys. EUR na koniec roku obrotowego)</w:t>
            </w:r>
          </w:p>
        </w:tc>
        <w:tc>
          <w:tcPr>
            <w:tcW w:w="1781" w:type="dxa"/>
            <w:shd w:val="clear" w:color="auto" w:fill="auto"/>
            <w:vAlign w:val="center"/>
          </w:tcPr>
          <w:p w14:paraId="40D76DAE"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23977112"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03D9969C" w14:textId="77777777" w:rsidR="00FD0214" w:rsidRPr="005E7DF6" w:rsidRDefault="00FD0214" w:rsidP="00FD229E">
            <w:pPr>
              <w:spacing w:line="276" w:lineRule="auto"/>
              <w:jc w:val="center"/>
              <w:rPr>
                <w:rFonts w:ascii="IBM Plex Sans Light" w:eastAsia="Calibri" w:hAnsi="IBM Plex Sans Light"/>
                <w:b/>
              </w:rPr>
            </w:pPr>
          </w:p>
        </w:tc>
      </w:tr>
      <w:tr w:rsidR="00FD0214" w:rsidRPr="005E7DF6" w14:paraId="0A170D02" w14:textId="77777777" w:rsidTr="00FD229E">
        <w:tc>
          <w:tcPr>
            <w:tcW w:w="3964" w:type="dxa"/>
            <w:shd w:val="clear" w:color="auto" w:fill="BFBFBF" w:themeFill="background1" w:themeFillShade="BF"/>
          </w:tcPr>
          <w:p w14:paraId="081291EA" w14:textId="77777777" w:rsidR="00FD0214" w:rsidRPr="005E7DF6" w:rsidRDefault="00FD0214" w:rsidP="00FD0214">
            <w:pPr>
              <w:spacing w:line="276" w:lineRule="auto"/>
              <w:rPr>
                <w:rFonts w:ascii="IBM Plex Sans Light" w:eastAsia="Calibri" w:hAnsi="IBM Plex Sans Light"/>
                <w:b/>
              </w:rPr>
            </w:pPr>
            <w:r w:rsidRPr="005E7DF6">
              <w:rPr>
                <w:rFonts w:ascii="IBM Plex Sans Light" w:eastAsia="Calibri" w:hAnsi="IBM Plex Sans Light"/>
                <w:b/>
              </w:rPr>
              <w:t xml:space="preserve">Suma aktywów bilansu </w:t>
            </w:r>
          </w:p>
          <w:p w14:paraId="661C4914" w14:textId="4B74723C" w:rsidR="00FD0214" w:rsidRPr="005E7DF6" w:rsidRDefault="00FD0214" w:rsidP="00FD0214">
            <w:pPr>
              <w:spacing w:line="276" w:lineRule="auto"/>
              <w:rPr>
                <w:rFonts w:ascii="IBM Plex Sans Light" w:eastAsia="Calibri" w:hAnsi="IBM Plex Sans Light"/>
                <w:i/>
              </w:rPr>
            </w:pPr>
            <w:r w:rsidRPr="005E7DF6">
              <w:rPr>
                <w:rFonts w:ascii="IBM Plex Sans Light" w:eastAsia="Calibri" w:hAnsi="IBM Plex Sans Light"/>
                <w:i/>
                <w:sz w:val="20"/>
                <w:szCs w:val="20"/>
              </w:rPr>
              <w:t>(w tys. EUR na koniec roku obrotowego)</w:t>
            </w:r>
          </w:p>
        </w:tc>
        <w:tc>
          <w:tcPr>
            <w:tcW w:w="1781" w:type="dxa"/>
            <w:shd w:val="clear" w:color="auto" w:fill="auto"/>
            <w:vAlign w:val="center"/>
          </w:tcPr>
          <w:p w14:paraId="662C6AFE"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51116D3C" w14:textId="77777777" w:rsidR="00FD0214" w:rsidRPr="005E7DF6" w:rsidRDefault="00FD0214" w:rsidP="00FD229E">
            <w:pPr>
              <w:spacing w:line="276" w:lineRule="auto"/>
              <w:jc w:val="center"/>
              <w:rPr>
                <w:rFonts w:ascii="IBM Plex Sans Light" w:eastAsia="Calibri" w:hAnsi="IBM Plex Sans Light"/>
                <w:b/>
              </w:rPr>
            </w:pPr>
          </w:p>
        </w:tc>
        <w:tc>
          <w:tcPr>
            <w:tcW w:w="1782" w:type="dxa"/>
            <w:shd w:val="clear" w:color="auto" w:fill="auto"/>
            <w:vAlign w:val="center"/>
          </w:tcPr>
          <w:p w14:paraId="24988445" w14:textId="77777777" w:rsidR="00FD0214" w:rsidRPr="005E7DF6" w:rsidRDefault="00FD0214" w:rsidP="00FD229E">
            <w:pPr>
              <w:spacing w:line="276" w:lineRule="auto"/>
              <w:jc w:val="center"/>
              <w:rPr>
                <w:rFonts w:ascii="IBM Plex Sans Light" w:eastAsia="Calibri" w:hAnsi="IBM Plex Sans Light"/>
                <w:b/>
              </w:rPr>
            </w:pPr>
          </w:p>
        </w:tc>
      </w:tr>
    </w:tbl>
    <w:p w14:paraId="315AB336" w14:textId="77777777" w:rsidR="00DA689E" w:rsidRPr="005E7DF6" w:rsidRDefault="00DA689E" w:rsidP="00DA689E">
      <w:pPr>
        <w:spacing w:line="276" w:lineRule="auto"/>
        <w:jc w:val="both"/>
        <w:rPr>
          <w:rFonts w:ascii="IBM Plex Sans Light" w:hAnsi="IBM Plex Sans Light"/>
          <w:b/>
          <w:sz w:val="20"/>
          <w:szCs w:val="20"/>
        </w:rPr>
      </w:pPr>
    </w:p>
    <w:p w14:paraId="7F99DBE8" w14:textId="77777777" w:rsidR="00DA689E" w:rsidRPr="005E7DF6" w:rsidRDefault="00DA689E" w:rsidP="00DA689E">
      <w:pPr>
        <w:spacing w:line="276" w:lineRule="auto"/>
        <w:jc w:val="both"/>
        <w:rPr>
          <w:rFonts w:ascii="IBM Plex Sans Light" w:hAnsi="IBM Plex Sans Light"/>
          <w:b/>
          <w:sz w:val="20"/>
          <w:szCs w:val="20"/>
        </w:rPr>
      </w:pPr>
    </w:p>
    <w:p w14:paraId="7743E9C8" w14:textId="4DB1A6EE" w:rsidR="008B4038" w:rsidRPr="003B109D" w:rsidRDefault="008B4038" w:rsidP="003B109D">
      <w:pPr>
        <w:jc w:val="both"/>
        <w:rPr>
          <w:rFonts w:ascii="IBM Plex Sans Light" w:hAnsi="IBM Plex Sans Light"/>
          <w:b/>
          <w:bCs/>
          <w:lang w:eastAsia="x-none"/>
        </w:rPr>
      </w:pPr>
      <w:r w:rsidRPr="005E7DF6">
        <w:rPr>
          <w:rFonts w:ascii="IBM Plex Sans Light" w:hAnsi="IBM Plex Sans Light"/>
          <w:b/>
          <w:bCs/>
          <w:lang w:eastAsia="x-none"/>
        </w:rPr>
        <w:t>Tabela 4. DANE PRZEDSIĘBIORSTWA POWIĄZANEGO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81"/>
        <w:gridCol w:w="1782"/>
        <w:gridCol w:w="1782"/>
      </w:tblGrid>
      <w:tr w:rsidR="008B4038" w:rsidRPr="005E7DF6" w14:paraId="365CAC98" w14:textId="77777777" w:rsidTr="008A023A">
        <w:tc>
          <w:tcPr>
            <w:tcW w:w="3964" w:type="dxa"/>
            <w:shd w:val="clear" w:color="auto" w:fill="BFBFBF" w:themeFill="background1" w:themeFillShade="BF"/>
          </w:tcPr>
          <w:p w14:paraId="036C989E" w14:textId="716920C7" w:rsidR="008B4038" w:rsidRPr="005E7DF6" w:rsidRDefault="008B4038" w:rsidP="008A023A">
            <w:pPr>
              <w:jc w:val="both"/>
              <w:rPr>
                <w:rFonts w:ascii="IBM Plex Sans Light" w:eastAsia="Calibri" w:hAnsi="IBM Plex Sans Light"/>
                <w:b/>
                <w:lang w:eastAsia="x-none"/>
              </w:rPr>
            </w:pPr>
            <w:r w:rsidRPr="005E7DF6">
              <w:rPr>
                <w:rFonts w:ascii="IBM Plex Sans Light" w:eastAsia="Calibri" w:hAnsi="IBM Plex Sans Light"/>
                <w:b/>
                <w:lang w:eastAsia="x-none"/>
              </w:rPr>
              <w:t>Przedsiębiorstwo powiązane</w:t>
            </w:r>
          </w:p>
          <w:p w14:paraId="78279BB8" w14:textId="1A85A6F4" w:rsidR="008B4038" w:rsidRPr="005E7DF6" w:rsidRDefault="00FD0214" w:rsidP="00737B74">
            <w:pPr>
              <w:spacing w:line="276" w:lineRule="auto"/>
              <w:rPr>
                <w:rFonts w:ascii="IBM Plex Sans Light" w:eastAsia="Calibri" w:hAnsi="IBM Plex Sans Light"/>
                <w:i/>
              </w:rPr>
            </w:pPr>
            <w:r w:rsidRPr="005E7DF6">
              <w:rPr>
                <w:rFonts w:ascii="IBM Plex Sans Light" w:eastAsia="Calibri" w:hAnsi="IBM Plex Sans Light"/>
                <w:i/>
                <w:sz w:val="20"/>
                <w:szCs w:val="20"/>
              </w:rPr>
              <w:t>(wpisać pełną nazwę zgodnie z dokumentem rejestrowym, NIP, KRS)</w:t>
            </w:r>
          </w:p>
        </w:tc>
        <w:tc>
          <w:tcPr>
            <w:tcW w:w="5345" w:type="dxa"/>
            <w:gridSpan w:val="3"/>
            <w:shd w:val="clear" w:color="auto" w:fill="auto"/>
          </w:tcPr>
          <w:p w14:paraId="228DD622" w14:textId="77777777" w:rsidR="008B4038" w:rsidRPr="005E7DF6" w:rsidRDefault="008B4038" w:rsidP="008A023A">
            <w:pPr>
              <w:spacing w:line="276" w:lineRule="auto"/>
              <w:jc w:val="both"/>
              <w:rPr>
                <w:rFonts w:ascii="IBM Plex Sans Light" w:eastAsia="Calibri" w:hAnsi="IBM Plex Sans Light"/>
                <w:b/>
              </w:rPr>
            </w:pPr>
          </w:p>
        </w:tc>
      </w:tr>
      <w:tr w:rsidR="008B4038" w:rsidRPr="005E7DF6" w14:paraId="35B6EAD3" w14:textId="77777777" w:rsidTr="008A023A">
        <w:tc>
          <w:tcPr>
            <w:tcW w:w="3964" w:type="dxa"/>
            <w:shd w:val="clear" w:color="auto" w:fill="BFBFBF" w:themeFill="background1" w:themeFillShade="BF"/>
          </w:tcPr>
          <w:p w14:paraId="1C561FAF" w14:textId="77777777" w:rsidR="008B4038" w:rsidRPr="005E7DF6" w:rsidRDefault="008B4038" w:rsidP="008A023A">
            <w:pPr>
              <w:jc w:val="both"/>
              <w:rPr>
                <w:rFonts w:ascii="IBM Plex Sans Light" w:eastAsia="Calibri" w:hAnsi="IBM Plex Sans Light"/>
                <w:b/>
                <w:lang w:eastAsia="x-none"/>
              </w:rPr>
            </w:pPr>
            <w:r w:rsidRPr="005E7DF6">
              <w:rPr>
                <w:rFonts w:ascii="IBM Plex Sans Light" w:eastAsia="Calibri" w:hAnsi="IBM Plex Sans Light"/>
                <w:b/>
                <w:lang w:eastAsia="x-none"/>
              </w:rPr>
              <w:t xml:space="preserve">Data rozpoczęcia działalności </w:t>
            </w:r>
            <w:r w:rsidRPr="005E7DF6">
              <w:rPr>
                <w:rFonts w:ascii="IBM Plex Sans Light" w:eastAsia="Calibri" w:hAnsi="IBM Plex Sans Light"/>
                <w:i/>
                <w:sz w:val="20"/>
                <w:szCs w:val="20"/>
                <w:lang w:eastAsia="x-none"/>
              </w:rPr>
              <w:t>(miesiąc, rok)</w:t>
            </w:r>
          </w:p>
        </w:tc>
        <w:tc>
          <w:tcPr>
            <w:tcW w:w="5345" w:type="dxa"/>
            <w:gridSpan w:val="3"/>
            <w:shd w:val="clear" w:color="auto" w:fill="auto"/>
          </w:tcPr>
          <w:p w14:paraId="2F0A3599" w14:textId="77777777" w:rsidR="008B4038" w:rsidRPr="005E7DF6" w:rsidRDefault="008B4038" w:rsidP="008A023A">
            <w:pPr>
              <w:jc w:val="both"/>
              <w:rPr>
                <w:rFonts w:ascii="IBM Plex Sans Light" w:eastAsia="Calibri" w:hAnsi="IBM Plex Sans Light"/>
                <w:b/>
                <w:lang w:eastAsia="x-none"/>
              </w:rPr>
            </w:pPr>
          </w:p>
        </w:tc>
      </w:tr>
      <w:tr w:rsidR="008B4038" w:rsidRPr="005E7DF6" w14:paraId="4B99059E" w14:textId="77777777" w:rsidTr="008A023A">
        <w:tc>
          <w:tcPr>
            <w:tcW w:w="3964" w:type="dxa"/>
            <w:shd w:val="clear" w:color="auto" w:fill="BFBFBF" w:themeFill="background1" w:themeFillShade="BF"/>
          </w:tcPr>
          <w:p w14:paraId="455B7BFD" w14:textId="77777777" w:rsidR="008B4038" w:rsidRPr="005E7DF6" w:rsidRDefault="008B4038" w:rsidP="008A023A">
            <w:pPr>
              <w:spacing w:line="276" w:lineRule="auto"/>
              <w:rPr>
                <w:rFonts w:ascii="IBM Plex Sans Light" w:eastAsia="Calibri" w:hAnsi="IBM Plex Sans Light"/>
                <w:b/>
              </w:rPr>
            </w:pPr>
            <w:r w:rsidRPr="005E7DF6">
              <w:rPr>
                <w:rFonts w:ascii="IBM Plex Sans Light" w:eastAsia="Calibri" w:hAnsi="IBM Plex Sans Light"/>
                <w:b/>
              </w:rPr>
              <w:t xml:space="preserve">Udział w kapitale lub prawie głosu </w:t>
            </w:r>
            <w:r w:rsidRPr="005E7DF6">
              <w:rPr>
                <w:rFonts w:ascii="IBM Plex Sans Light" w:eastAsia="Calibri" w:hAnsi="IBM Plex Sans Light"/>
                <w:i/>
                <w:sz w:val="20"/>
                <w:szCs w:val="20"/>
              </w:rPr>
              <w:t>(w procentach)</w:t>
            </w:r>
          </w:p>
        </w:tc>
        <w:tc>
          <w:tcPr>
            <w:tcW w:w="5345" w:type="dxa"/>
            <w:gridSpan w:val="3"/>
            <w:shd w:val="clear" w:color="auto" w:fill="auto"/>
          </w:tcPr>
          <w:p w14:paraId="61B082DB" w14:textId="77777777" w:rsidR="008B4038" w:rsidRPr="005E7DF6" w:rsidRDefault="008B4038" w:rsidP="008A023A">
            <w:pPr>
              <w:widowControl w:val="0"/>
              <w:rPr>
                <w:rFonts w:ascii="IBM Plex Sans Light" w:eastAsia="Calibri" w:hAnsi="IBM Plex Sans Light"/>
              </w:rPr>
            </w:pPr>
          </w:p>
        </w:tc>
      </w:tr>
      <w:tr w:rsidR="005D175A" w:rsidRPr="005E7DF6" w14:paraId="6B0F9928" w14:textId="77777777" w:rsidTr="008B4038">
        <w:tc>
          <w:tcPr>
            <w:tcW w:w="3964" w:type="dxa"/>
            <w:shd w:val="clear" w:color="auto" w:fill="BFBFBF" w:themeFill="background1" w:themeFillShade="BF"/>
          </w:tcPr>
          <w:p w14:paraId="4879541E" w14:textId="77777777" w:rsidR="005D175A" w:rsidRPr="005E7DF6" w:rsidRDefault="005D175A" w:rsidP="005D175A">
            <w:pPr>
              <w:spacing w:line="276" w:lineRule="auto"/>
              <w:rPr>
                <w:rFonts w:ascii="IBM Plex Sans Light" w:eastAsia="Calibri" w:hAnsi="IBM Plex Sans Light"/>
                <w:b/>
              </w:rPr>
            </w:pPr>
            <w:r w:rsidRPr="005E7DF6">
              <w:rPr>
                <w:rFonts w:ascii="IBM Plex Sans Light" w:eastAsia="Calibri" w:hAnsi="IBM Plex Sans Light"/>
                <w:b/>
              </w:rPr>
              <w:t>Dane stosowane do określenia kategorii MŚP</w:t>
            </w:r>
          </w:p>
        </w:tc>
        <w:tc>
          <w:tcPr>
            <w:tcW w:w="1781" w:type="dxa"/>
            <w:shd w:val="clear" w:color="auto" w:fill="BFBFBF" w:themeFill="background1" w:themeFillShade="BF"/>
            <w:vAlign w:val="center"/>
          </w:tcPr>
          <w:p w14:paraId="0836D000"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39D64619"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28A21DC9" w14:textId="6C4C0C77"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2" w:type="dxa"/>
            <w:shd w:val="clear" w:color="auto" w:fill="BFBFBF" w:themeFill="background1" w:themeFillShade="BF"/>
            <w:vAlign w:val="center"/>
          </w:tcPr>
          <w:p w14:paraId="2510D415"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11A4ED38"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0F7D5DF3" w14:textId="7F2D2AAC"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c>
          <w:tcPr>
            <w:tcW w:w="1782" w:type="dxa"/>
            <w:shd w:val="clear" w:color="auto" w:fill="BFBFBF" w:themeFill="background1" w:themeFillShade="BF"/>
            <w:vAlign w:val="center"/>
          </w:tcPr>
          <w:p w14:paraId="417B00B9" w14:textId="77777777" w:rsidR="005D175A" w:rsidRPr="005E7DF6"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sidRPr="005E7DF6">
              <w:rPr>
                <w:rFonts w:ascii="IBM Plex Sans Light" w:eastAsia="Calibri" w:hAnsi="IBM Plex Sans Light"/>
                <w:sz w:val="20"/>
                <w:szCs w:val="20"/>
              </w:rPr>
              <w:t>W okresie</w:t>
            </w:r>
          </w:p>
          <w:p w14:paraId="26D78F14" w14:textId="77777777" w:rsidR="005D175A" w:rsidRDefault="005D175A" w:rsidP="005D175A">
            <w:pPr>
              <w:widowControl w:val="0"/>
              <w:overflowPunct w:val="0"/>
              <w:autoSpaceDE w:val="0"/>
              <w:autoSpaceDN w:val="0"/>
              <w:adjustRightInd w:val="0"/>
              <w:jc w:val="center"/>
              <w:textAlignment w:val="baseline"/>
              <w:rPr>
                <w:rFonts w:ascii="IBM Plex Sans Light" w:eastAsia="Calibri" w:hAnsi="IBM Plex Sans Light"/>
                <w:sz w:val="20"/>
                <w:szCs w:val="20"/>
              </w:rPr>
            </w:pPr>
            <w:r>
              <w:rPr>
                <w:rFonts w:ascii="IBM Plex Sans Light" w:eastAsia="Calibri" w:hAnsi="IBM Plex Sans Light"/>
                <w:sz w:val="20"/>
                <w:szCs w:val="20"/>
              </w:rPr>
              <w:t>o</w:t>
            </w:r>
            <w:r w:rsidRPr="005E7DF6">
              <w:rPr>
                <w:rFonts w:ascii="IBM Plex Sans Light" w:eastAsia="Calibri" w:hAnsi="IBM Plex Sans Light"/>
                <w:sz w:val="20"/>
                <w:szCs w:val="20"/>
              </w:rPr>
              <w:t xml:space="preserve">d </w:t>
            </w:r>
            <w:r>
              <w:rPr>
                <w:rFonts w:ascii="IBM Plex Sans Light" w:eastAsia="Calibri" w:hAnsi="IBM Plex Sans Light"/>
                <w:sz w:val="20"/>
                <w:szCs w:val="20"/>
              </w:rPr>
              <w:t>………………..</w:t>
            </w:r>
          </w:p>
          <w:p w14:paraId="60384DDA" w14:textId="3698C2E4" w:rsidR="005D175A" w:rsidRPr="005E7DF6" w:rsidRDefault="005D175A" w:rsidP="005D175A">
            <w:pPr>
              <w:spacing w:line="276" w:lineRule="auto"/>
              <w:jc w:val="center"/>
              <w:rPr>
                <w:rFonts w:ascii="IBM Plex Sans Light" w:eastAsia="Calibri" w:hAnsi="IBM Plex Sans Light"/>
                <w:b/>
                <w:sz w:val="20"/>
                <w:szCs w:val="20"/>
              </w:rPr>
            </w:pPr>
            <w:r w:rsidRPr="005E7DF6">
              <w:rPr>
                <w:rFonts w:ascii="IBM Plex Sans Light" w:eastAsia="Calibri" w:hAnsi="IBM Plex Sans Light"/>
                <w:sz w:val="20"/>
                <w:szCs w:val="20"/>
              </w:rPr>
              <w:t xml:space="preserve">do </w:t>
            </w:r>
            <w:r>
              <w:rPr>
                <w:rFonts w:ascii="IBM Plex Sans Light" w:eastAsia="Calibri" w:hAnsi="IBM Plex Sans Light"/>
                <w:sz w:val="20"/>
                <w:szCs w:val="20"/>
              </w:rPr>
              <w:t>………………..</w:t>
            </w:r>
          </w:p>
        </w:tc>
      </w:tr>
      <w:tr w:rsidR="008B4038" w:rsidRPr="005E7DF6" w14:paraId="2F009B49" w14:textId="77777777" w:rsidTr="00FD229E">
        <w:tc>
          <w:tcPr>
            <w:tcW w:w="3964" w:type="dxa"/>
            <w:shd w:val="clear" w:color="auto" w:fill="BFBFBF" w:themeFill="background1" w:themeFillShade="BF"/>
          </w:tcPr>
          <w:p w14:paraId="6CFEE74C" w14:textId="77777777" w:rsidR="00FD0214" w:rsidRPr="005E7DF6" w:rsidRDefault="008B4038" w:rsidP="008A023A">
            <w:pPr>
              <w:spacing w:line="276" w:lineRule="auto"/>
              <w:rPr>
                <w:rFonts w:ascii="IBM Plex Sans Light" w:eastAsia="Calibri" w:hAnsi="IBM Plex Sans Light"/>
                <w:b/>
              </w:rPr>
            </w:pPr>
            <w:r w:rsidRPr="005E7DF6">
              <w:rPr>
                <w:rFonts w:ascii="IBM Plex Sans Light" w:eastAsia="Calibri" w:hAnsi="IBM Plex Sans Light"/>
                <w:b/>
              </w:rPr>
              <w:t>Wielkość zatrudnienia</w:t>
            </w:r>
            <w:r w:rsidRPr="005E7DF6">
              <w:rPr>
                <w:rFonts w:ascii="IBM Plex Sans Light" w:eastAsia="Calibri" w:hAnsi="IBM Plex Sans Light"/>
                <w:b/>
                <w:vertAlign w:val="superscript"/>
              </w:rPr>
              <w:t>6</w:t>
            </w:r>
            <w:r w:rsidRPr="005E7DF6">
              <w:rPr>
                <w:rFonts w:ascii="IBM Plex Sans Light" w:eastAsia="Calibri" w:hAnsi="IBM Plex Sans Light"/>
                <w:b/>
              </w:rPr>
              <w:t xml:space="preserve"> </w:t>
            </w:r>
          </w:p>
          <w:p w14:paraId="50738220" w14:textId="1F21C13C" w:rsidR="008B4038" w:rsidRPr="005E7DF6" w:rsidRDefault="008B4038" w:rsidP="008A023A">
            <w:pPr>
              <w:spacing w:line="276" w:lineRule="auto"/>
              <w:rPr>
                <w:rFonts w:ascii="IBM Plex Sans Light" w:eastAsia="Calibri" w:hAnsi="IBM Plex Sans Light"/>
                <w:i/>
              </w:rPr>
            </w:pPr>
            <w:r w:rsidRPr="005E7DF6">
              <w:rPr>
                <w:rFonts w:ascii="IBM Plex Sans Light" w:eastAsia="Calibri" w:hAnsi="IBM Plex Sans Light"/>
                <w:i/>
                <w:sz w:val="20"/>
                <w:szCs w:val="20"/>
              </w:rPr>
              <w:t>(w Roboczych Jednostkach Pracy)</w:t>
            </w:r>
          </w:p>
        </w:tc>
        <w:tc>
          <w:tcPr>
            <w:tcW w:w="1781" w:type="dxa"/>
            <w:shd w:val="clear" w:color="auto" w:fill="auto"/>
            <w:vAlign w:val="center"/>
          </w:tcPr>
          <w:p w14:paraId="7A53E35B"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7F46232D"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40C05EC6" w14:textId="77777777" w:rsidR="008B4038" w:rsidRPr="005E7DF6" w:rsidRDefault="008B4038" w:rsidP="00FD229E">
            <w:pPr>
              <w:spacing w:line="276" w:lineRule="auto"/>
              <w:jc w:val="center"/>
              <w:rPr>
                <w:rFonts w:ascii="IBM Plex Sans Light" w:eastAsia="Calibri" w:hAnsi="IBM Plex Sans Light"/>
                <w:b/>
              </w:rPr>
            </w:pPr>
          </w:p>
        </w:tc>
      </w:tr>
      <w:tr w:rsidR="008B4038" w:rsidRPr="005E7DF6" w14:paraId="6C2426F7" w14:textId="77777777" w:rsidTr="00FD229E">
        <w:tc>
          <w:tcPr>
            <w:tcW w:w="3964" w:type="dxa"/>
            <w:shd w:val="clear" w:color="auto" w:fill="BFBFBF" w:themeFill="background1" w:themeFillShade="BF"/>
          </w:tcPr>
          <w:p w14:paraId="2C465751" w14:textId="77777777" w:rsidR="00FD0214" w:rsidRPr="005E7DF6" w:rsidRDefault="008B4038" w:rsidP="008A023A">
            <w:pPr>
              <w:spacing w:line="276" w:lineRule="auto"/>
              <w:rPr>
                <w:rFonts w:ascii="IBM Plex Sans Light" w:eastAsia="Calibri" w:hAnsi="IBM Plex Sans Light"/>
                <w:b/>
              </w:rPr>
            </w:pPr>
            <w:r w:rsidRPr="005E7DF6">
              <w:rPr>
                <w:rFonts w:ascii="IBM Plex Sans Light" w:eastAsia="Calibri" w:hAnsi="IBM Plex Sans Light"/>
                <w:b/>
              </w:rPr>
              <w:t xml:space="preserve">Obroty ze sprzedaży netto </w:t>
            </w:r>
          </w:p>
          <w:p w14:paraId="455212B1" w14:textId="09FC39E9" w:rsidR="008B4038" w:rsidRPr="005E7DF6" w:rsidRDefault="008B4038" w:rsidP="008A023A">
            <w:pPr>
              <w:spacing w:line="276" w:lineRule="auto"/>
              <w:rPr>
                <w:rFonts w:ascii="IBM Plex Sans Light" w:eastAsia="Calibri" w:hAnsi="IBM Plex Sans Light"/>
                <w:i/>
                <w:vertAlign w:val="superscript"/>
              </w:rPr>
            </w:pPr>
            <w:r w:rsidRPr="005E7DF6">
              <w:rPr>
                <w:rFonts w:ascii="IBM Plex Sans Light" w:eastAsia="Calibri" w:hAnsi="IBM Plex Sans Light"/>
                <w:i/>
                <w:sz w:val="20"/>
                <w:szCs w:val="20"/>
              </w:rPr>
              <w:t>(w tys. EUR na koniec roku obrotowego)</w:t>
            </w:r>
            <w:r w:rsidRPr="005E7DF6">
              <w:rPr>
                <w:rFonts w:ascii="IBM Plex Sans Light" w:eastAsia="Calibri" w:hAnsi="IBM Plex Sans Light"/>
                <w:i/>
                <w:sz w:val="20"/>
                <w:szCs w:val="20"/>
                <w:vertAlign w:val="superscript"/>
              </w:rPr>
              <w:t>7</w:t>
            </w:r>
          </w:p>
        </w:tc>
        <w:tc>
          <w:tcPr>
            <w:tcW w:w="1781" w:type="dxa"/>
            <w:shd w:val="clear" w:color="auto" w:fill="auto"/>
            <w:vAlign w:val="center"/>
          </w:tcPr>
          <w:p w14:paraId="78A3DB9A"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412C91D7"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65E3B859" w14:textId="77777777" w:rsidR="008B4038" w:rsidRPr="005E7DF6" w:rsidRDefault="008B4038" w:rsidP="00FD229E">
            <w:pPr>
              <w:spacing w:line="276" w:lineRule="auto"/>
              <w:jc w:val="center"/>
              <w:rPr>
                <w:rFonts w:ascii="IBM Plex Sans Light" w:eastAsia="Calibri" w:hAnsi="IBM Plex Sans Light"/>
                <w:b/>
              </w:rPr>
            </w:pPr>
          </w:p>
        </w:tc>
      </w:tr>
      <w:tr w:rsidR="008B4038" w:rsidRPr="005E7DF6" w14:paraId="6A19907D" w14:textId="77777777" w:rsidTr="00FD229E">
        <w:tc>
          <w:tcPr>
            <w:tcW w:w="3964" w:type="dxa"/>
            <w:shd w:val="clear" w:color="auto" w:fill="BFBFBF" w:themeFill="background1" w:themeFillShade="BF"/>
          </w:tcPr>
          <w:p w14:paraId="42F1DD17" w14:textId="77777777" w:rsidR="00FD0214" w:rsidRPr="005E7DF6" w:rsidRDefault="008B4038" w:rsidP="008A023A">
            <w:pPr>
              <w:spacing w:line="276" w:lineRule="auto"/>
              <w:rPr>
                <w:rFonts w:ascii="IBM Plex Sans Light" w:eastAsia="Calibri" w:hAnsi="IBM Plex Sans Light"/>
                <w:b/>
              </w:rPr>
            </w:pPr>
            <w:r w:rsidRPr="005E7DF6">
              <w:rPr>
                <w:rFonts w:ascii="IBM Plex Sans Light" w:eastAsia="Calibri" w:hAnsi="IBM Plex Sans Light"/>
                <w:b/>
              </w:rPr>
              <w:t>Suma aktywów bilansu</w:t>
            </w:r>
          </w:p>
          <w:p w14:paraId="41F7BC81" w14:textId="33F24F77" w:rsidR="008B4038" w:rsidRPr="005E7DF6" w:rsidRDefault="008B4038" w:rsidP="008A023A">
            <w:pPr>
              <w:spacing w:line="276" w:lineRule="auto"/>
              <w:rPr>
                <w:rFonts w:ascii="IBM Plex Sans Light" w:eastAsia="Calibri" w:hAnsi="IBM Plex Sans Light"/>
                <w:i/>
              </w:rPr>
            </w:pPr>
            <w:r w:rsidRPr="005E7DF6">
              <w:rPr>
                <w:rFonts w:ascii="IBM Plex Sans Light" w:eastAsia="Calibri" w:hAnsi="IBM Plex Sans Light"/>
                <w:b/>
              </w:rPr>
              <w:t xml:space="preserve"> </w:t>
            </w:r>
            <w:r w:rsidRPr="005E7DF6">
              <w:rPr>
                <w:rFonts w:ascii="IBM Plex Sans Light" w:eastAsia="Calibri" w:hAnsi="IBM Plex Sans Light"/>
                <w:i/>
                <w:sz w:val="20"/>
                <w:szCs w:val="20"/>
              </w:rPr>
              <w:t>(w tys. EUR</w:t>
            </w:r>
            <w:r w:rsidR="00FD0214" w:rsidRPr="005E7DF6">
              <w:rPr>
                <w:rFonts w:ascii="IBM Plex Sans Light" w:eastAsia="Calibri" w:hAnsi="IBM Plex Sans Light"/>
                <w:i/>
                <w:sz w:val="20"/>
                <w:szCs w:val="20"/>
              </w:rPr>
              <w:t xml:space="preserve"> na koniec roku obrotowego</w:t>
            </w:r>
            <w:r w:rsidRPr="005E7DF6">
              <w:rPr>
                <w:rFonts w:ascii="IBM Plex Sans Light" w:eastAsia="Calibri" w:hAnsi="IBM Plex Sans Light"/>
                <w:i/>
                <w:sz w:val="20"/>
                <w:szCs w:val="20"/>
              </w:rPr>
              <w:t>)</w:t>
            </w:r>
          </w:p>
        </w:tc>
        <w:tc>
          <w:tcPr>
            <w:tcW w:w="1781" w:type="dxa"/>
            <w:shd w:val="clear" w:color="auto" w:fill="auto"/>
            <w:vAlign w:val="center"/>
          </w:tcPr>
          <w:p w14:paraId="5807748F"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310F67AB" w14:textId="77777777" w:rsidR="008B4038" w:rsidRPr="005E7DF6" w:rsidRDefault="008B4038" w:rsidP="00FD229E">
            <w:pPr>
              <w:spacing w:line="276" w:lineRule="auto"/>
              <w:jc w:val="center"/>
              <w:rPr>
                <w:rFonts w:ascii="IBM Plex Sans Light" w:eastAsia="Calibri" w:hAnsi="IBM Plex Sans Light"/>
                <w:b/>
              </w:rPr>
            </w:pPr>
          </w:p>
        </w:tc>
        <w:tc>
          <w:tcPr>
            <w:tcW w:w="1782" w:type="dxa"/>
            <w:shd w:val="clear" w:color="auto" w:fill="auto"/>
            <w:vAlign w:val="center"/>
          </w:tcPr>
          <w:p w14:paraId="3708DD2B" w14:textId="77777777" w:rsidR="008B4038" w:rsidRPr="005E7DF6" w:rsidRDefault="008B4038" w:rsidP="00FD229E">
            <w:pPr>
              <w:spacing w:line="276" w:lineRule="auto"/>
              <w:jc w:val="center"/>
              <w:rPr>
                <w:rFonts w:ascii="IBM Plex Sans Light" w:eastAsia="Calibri" w:hAnsi="IBM Plex Sans Light"/>
                <w:b/>
              </w:rPr>
            </w:pPr>
          </w:p>
        </w:tc>
      </w:tr>
    </w:tbl>
    <w:p w14:paraId="71C8EB64" w14:textId="77777777" w:rsidR="008B4038" w:rsidRPr="005E7DF6" w:rsidRDefault="008B4038" w:rsidP="008B4038">
      <w:pPr>
        <w:spacing w:line="276" w:lineRule="auto"/>
        <w:jc w:val="both"/>
        <w:rPr>
          <w:rFonts w:ascii="IBM Plex Sans Light" w:hAnsi="IBM Plex Sans Light"/>
          <w:b/>
          <w:sz w:val="20"/>
          <w:szCs w:val="20"/>
        </w:rPr>
      </w:pPr>
    </w:p>
    <w:tbl>
      <w:tblPr>
        <w:tblStyle w:val="Tabela-Siatka"/>
        <w:tblW w:w="5245" w:type="dxa"/>
        <w:tblInd w:w="4106" w:type="dxa"/>
        <w:tblLook w:val="04A0" w:firstRow="1" w:lastRow="0" w:firstColumn="1" w:lastColumn="0" w:noHBand="0" w:noVBand="1"/>
      </w:tblPr>
      <w:tblGrid>
        <w:gridCol w:w="5245"/>
      </w:tblGrid>
      <w:tr w:rsidR="00191D4C" w:rsidRPr="005E7DF6" w14:paraId="764347DF" w14:textId="77777777" w:rsidTr="00191D4C">
        <w:tc>
          <w:tcPr>
            <w:tcW w:w="5245" w:type="dxa"/>
          </w:tcPr>
          <w:p w14:paraId="3D4F04E1" w14:textId="77777777" w:rsidR="00191D4C" w:rsidRPr="005E7DF6" w:rsidRDefault="00191D4C" w:rsidP="008A023A">
            <w:pPr>
              <w:pStyle w:val="Akapitzlist"/>
              <w:ind w:left="-102" w:firstLine="102"/>
              <w:rPr>
                <w:rFonts w:ascii="IBM Plex Sans Light" w:hAnsi="IBM Plex Sans Light" w:cstheme="minorHAnsi"/>
                <w:sz w:val="22"/>
                <w:szCs w:val="22"/>
                <w:lang w:eastAsia="en-US"/>
              </w:rPr>
            </w:pPr>
          </w:p>
          <w:p w14:paraId="1B7B02CF" w14:textId="77777777" w:rsidR="00191D4C" w:rsidRPr="005E7DF6" w:rsidRDefault="00191D4C" w:rsidP="008A023A">
            <w:pPr>
              <w:pStyle w:val="Akapitzlist"/>
              <w:ind w:left="-102" w:firstLine="102"/>
              <w:rPr>
                <w:rFonts w:ascii="IBM Plex Sans Light" w:hAnsi="IBM Plex Sans Light" w:cstheme="minorHAnsi"/>
                <w:sz w:val="22"/>
                <w:szCs w:val="22"/>
                <w:lang w:eastAsia="en-US"/>
              </w:rPr>
            </w:pPr>
          </w:p>
          <w:p w14:paraId="59277539" w14:textId="77777777" w:rsidR="00191D4C" w:rsidRPr="005E7DF6" w:rsidRDefault="00191D4C" w:rsidP="008A023A">
            <w:pPr>
              <w:pStyle w:val="Akapitzlist"/>
              <w:ind w:left="-102" w:firstLine="102"/>
              <w:rPr>
                <w:rFonts w:ascii="IBM Plex Sans Light" w:hAnsi="IBM Plex Sans Light" w:cstheme="minorHAnsi"/>
                <w:sz w:val="22"/>
                <w:szCs w:val="22"/>
                <w:lang w:eastAsia="en-US"/>
              </w:rPr>
            </w:pPr>
          </w:p>
          <w:p w14:paraId="59C8E41F" w14:textId="77777777" w:rsidR="00191D4C" w:rsidRPr="005E7DF6" w:rsidRDefault="00191D4C" w:rsidP="008A023A">
            <w:pPr>
              <w:pStyle w:val="Akapitzlist"/>
              <w:ind w:left="-102" w:firstLine="102"/>
              <w:rPr>
                <w:rFonts w:ascii="IBM Plex Sans Light" w:hAnsi="IBM Plex Sans Light" w:cstheme="minorHAnsi"/>
                <w:sz w:val="22"/>
                <w:szCs w:val="22"/>
                <w:lang w:eastAsia="en-US"/>
              </w:rPr>
            </w:pPr>
          </w:p>
          <w:p w14:paraId="0AE45FFE" w14:textId="77777777" w:rsidR="00191D4C" w:rsidRPr="005E7DF6" w:rsidRDefault="00191D4C" w:rsidP="008A023A">
            <w:pPr>
              <w:pStyle w:val="Akapitzlist"/>
              <w:ind w:left="-102" w:firstLine="102"/>
              <w:rPr>
                <w:rFonts w:ascii="IBM Plex Sans Light" w:hAnsi="IBM Plex Sans Light" w:cstheme="minorHAnsi"/>
                <w:sz w:val="22"/>
                <w:szCs w:val="22"/>
                <w:lang w:eastAsia="en-US"/>
              </w:rPr>
            </w:pPr>
          </w:p>
        </w:tc>
      </w:tr>
      <w:tr w:rsidR="00191D4C" w:rsidRPr="005E7DF6" w14:paraId="5B430E0F" w14:textId="77777777" w:rsidTr="00191D4C">
        <w:tc>
          <w:tcPr>
            <w:tcW w:w="5245" w:type="dxa"/>
            <w:shd w:val="clear" w:color="auto" w:fill="BFBFBF" w:themeFill="background1" w:themeFillShade="BF"/>
          </w:tcPr>
          <w:p w14:paraId="0E29237C" w14:textId="77777777" w:rsidR="00191D4C" w:rsidRPr="005E7DF6" w:rsidRDefault="00191D4C" w:rsidP="008A023A">
            <w:pPr>
              <w:pStyle w:val="Akapitzlist"/>
              <w:ind w:left="0"/>
              <w:jc w:val="right"/>
              <w:rPr>
                <w:rFonts w:ascii="IBM Plex Sans Light" w:hAnsi="IBM Plex Sans Light" w:cstheme="minorHAnsi"/>
                <w:i/>
                <w:iCs/>
                <w:sz w:val="20"/>
                <w:szCs w:val="20"/>
                <w:lang w:eastAsia="en-US"/>
              </w:rPr>
            </w:pPr>
            <w:r w:rsidRPr="005E7DF6">
              <w:rPr>
                <w:rFonts w:ascii="IBM Plex Sans Light" w:hAnsi="IBM Plex Sans Light" w:cstheme="minorHAnsi"/>
                <w:i/>
                <w:iCs/>
                <w:sz w:val="20"/>
                <w:szCs w:val="20"/>
                <w:lang w:eastAsia="en-US"/>
              </w:rPr>
              <w:t>Data i podpis</w:t>
            </w:r>
          </w:p>
        </w:tc>
      </w:tr>
    </w:tbl>
    <w:p w14:paraId="14BC9228" w14:textId="213FD26A" w:rsidR="0046244D" w:rsidRPr="005E7DF6" w:rsidRDefault="0046244D" w:rsidP="0046244D">
      <w:pPr>
        <w:tabs>
          <w:tab w:val="left" w:pos="4320"/>
        </w:tabs>
        <w:rPr>
          <w:rFonts w:ascii="IBM Plex Sans Light" w:hAnsi="IBM Plex Sans Light" w:cstheme="minorHAnsi"/>
          <w:sz w:val="22"/>
          <w:szCs w:val="22"/>
          <w:lang w:eastAsia="en-US"/>
        </w:rPr>
      </w:pPr>
      <w:r w:rsidRPr="005E7DF6">
        <w:rPr>
          <w:rFonts w:ascii="IBM Plex Sans Light" w:hAnsi="IBM Plex Sans Light" w:cstheme="minorHAnsi"/>
          <w:sz w:val="22"/>
          <w:szCs w:val="22"/>
          <w:lang w:eastAsia="en-US"/>
        </w:rPr>
        <w:tab/>
      </w:r>
    </w:p>
    <w:sectPr w:rsidR="0046244D" w:rsidRPr="005E7DF6" w:rsidSect="006725CE">
      <w:headerReference w:type="default" r:id="rId8"/>
      <w:footerReference w:type="default" r:id="rId9"/>
      <w:headerReference w:type="first" r:id="rId10"/>
      <w:footerReference w:type="first" r:id="rId11"/>
      <w:footnotePr>
        <w:pos w:val="beneathText"/>
      </w:footnotePr>
      <w:endnotePr>
        <w:numFmt w:val="decimal"/>
      </w:endnotePr>
      <w:pgSz w:w="11906" w:h="16838" w:code="9"/>
      <w:pgMar w:top="1134" w:right="1134" w:bottom="156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97CE" w14:textId="77777777" w:rsidR="00E749EF" w:rsidRDefault="00E749EF">
      <w:r>
        <w:separator/>
      </w:r>
    </w:p>
  </w:endnote>
  <w:endnote w:type="continuationSeparator" w:id="0">
    <w:p w14:paraId="19451506" w14:textId="77777777" w:rsidR="00E749EF" w:rsidRDefault="00E749EF">
      <w:r>
        <w:continuationSeparator/>
      </w:r>
    </w:p>
  </w:endnote>
  <w:endnote w:id="1">
    <w:p w14:paraId="2FE22ECC" w14:textId="77777777" w:rsidR="0004505C" w:rsidRPr="003B109D" w:rsidRDefault="0004505C" w:rsidP="008B4038">
      <w:pPr>
        <w:jc w:val="both"/>
        <w:rPr>
          <w:rFonts w:ascii="IBM Plex Sans Light" w:hAnsi="IBM Plex Sans Light"/>
          <w:color w:val="000000"/>
          <w:sz w:val="18"/>
          <w:szCs w:val="18"/>
          <w:lang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color w:val="000000"/>
          <w:sz w:val="18"/>
          <w:szCs w:val="18"/>
          <w:lang w:eastAsia="x-none"/>
        </w:rPr>
        <w:t xml:space="preserve">Do kategorii </w:t>
      </w:r>
      <w:r w:rsidRPr="003B109D">
        <w:rPr>
          <w:rFonts w:ascii="IBM Plex Sans Light" w:hAnsi="IBM Plex Sans Light"/>
          <w:b/>
          <w:bCs/>
          <w:color w:val="000000"/>
          <w:sz w:val="18"/>
          <w:szCs w:val="18"/>
          <w:lang w:eastAsia="x-none"/>
        </w:rPr>
        <w:t>mikroprzedsiębiorstw</w:t>
      </w:r>
      <w:r w:rsidRPr="003B109D">
        <w:rPr>
          <w:rFonts w:ascii="IBM Plex Sans Light" w:hAnsi="IBM Plex Sans Light"/>
          <w:color w:val="000000"/>
          <w:sz w:val="18"/>
          <w:szCs w:val="18"/>
          <w:lang w:eastAsia="x-none"/>
        </w:rPr>
        <w:t xml:space="preserve"> oraz </w:t>
      </w:r>
      <w:r w:rsidRPr="003B109D">
        <w:rPr>
          <w:rFonts w:ascii="IBM Plex Sans Light" w:hAnsi="IBM Plex Sans Light"/>
          <w:b/>
          <w:bCs/>
          <w:color w:val="000000"/>
          <w:sz w:val="18"/>
          <w:szCs w:val="18"/>
          <w:lang w:eastAsia="x-none"/>
        </w:rPr>
        <w:t>małych</w:t>
      </w:r>
      <w:r w:rsidRPr="003B109D">
        <w:rPr>
          <w:rFonts w:ascii="IBM Plex Sans Light" w:hAnsi="IBM Plex Sans Light"/>
          <w:color w:val="000000"/>
          <w:sz w:val="18"/>
          <w:szCs w:val="18"/>
          <w:lang w:eastAsia="x-none"/>
        </w:rPr>
        <w:t xml:space="preserve"> przedsiębiorstw należą przedsiębiorstwa, które zatrudniają mniej niż 50 pracowników i których roczny obrót lub roczna suma bilansowa nie przekracza 10 milionów EUR.</w:t>
      </w:r>
    </w:p>
    <w:p w14:paraId="2812354A" w14:textId="0182EBC5" w:rsidR="0004505C" w:rsidRPr="003B109D" w:rsidRDefault="0004505C" w:rsidP="008B4038">
      <w:pPr>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 xml:space="preserve">W kategorii MŚP </w:t>
      </w:r>
      <w:r w:rsidRPr="003B109D">
        <w:rPr>
          <w:rFonts w:ascii="IBM Plex Sans Light" w:hAnsi="IBM Plex Sans Light"/>
          <w:b/>
          <w:bCs/>
          <w:color w:val="000000"/>
          <w:sz w:val="18"/>
          <w:szCs w:val="18"/>
          <w:lang w:eastAsia="x-none"/>
        </w:rPr>
        <w:t>mikroprzedsiębiorstwo</w:t>
      </w:r>
      <w:r w:rsidRPr="003B109D">
        <w:rPr>
          <w:rFonts w:ascii="IBM Plex Sans Light" w:hAnsi="IBM Plex Sans Light"/>
          <w:color w:val="000000"/>
          <w:sz w:val="18"/>
          <w:szCs w:val="18"/>
          <w:lang w:eastAsia="x-none"/>
        </w:rPr>
        <w:t xml:space="preserve"> definiuje się jako przedsiębiorstwo zatrudniające mniej niż 10 pracowników i którego roczny obrót lub roczna suma bilansowa nie przekracza 2 milionów EUR.</w:t>
      </w:r>
    </w:p>
    <w:p w14:paraId="5D932B80" w14:textId="77777777" w:rsidR="0004505C" w:rsidRPr="003B109D" w:rsidRDefault="0004505C" w:rsidP="008B4038">
      <w:pPr>
        <w:widowControl w:val="0"/>
        <w:tabs>
          <w:tab w:val="left" w:pos="567"/>
          <w:tab w:val="left" w:pos="1134"/>
          <w:tab w:val="left" w:pos="1701"/>
          <w:tab w:val="left" w:pos="2268"/>
        </w:tab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14:paraId="6F4ED733" w14:textId="77777777" w:rsidR="0004505C" w:rsidRPr="003B109D" w:rsidRDefault="0004505C" w:rsidP="008B4038">
      <w:pPr>
        <w:widowControl w:val="0"/>
        <w:tabs>
          <w:tab w:val="left" w:pos="567"/>
          <w:tab w:val="left" w:pos="1134"/>
          <w:tab w:val="left" w:pos="1701"/>
          <w:tab w:val="left" w:pos="2268"/>
        </w:tab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Powyższa zasada nie dotyczy sytuacji wynikających ze zmiany w strukturze właścicielskiej przedsiębiorstwa:</w:t>
      </w:r>
    </w:p>
    <w:p w14:paraId="3EA2BB89" w14:textId="77777777" w:rsidR="0004505C" w:rsidRPr="003B109D" w:rsidRDefault="0004505C" w:rsidP="00B571AF">
      <w:pPr>
        <w:widowControl w:val="0"/>
        <w:numPr>
          <w:ilvl w:val="0"/>
          <w:numId w:val="6"/>
        </w:numPr>
        <w:suppressAutoHyphen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 xml:space="preserve">przejęcia przedsiębiorstwa mającego status MSP przez przedsiębiorstwo duże i w związku z tym z dniem przejęcia przedsiębiorstwo to stanie się przedsiębiorstwem powiązanym lub partnerskim. </w:t>
      </w:r>
    </w:p>
    <w:p w14:paraId="040141ED" w14:textId="169B8936" w:rsidR="0004505C" w:rsidRPr="003B109D" w:rsidRDefault="0004505C" w:rsidP="00B571AF">
      <w:pPr>
        <w:widowControl w:val="0"/>
        <w:numPr>
          <w:ilvl w:val="0"/>
          <w:numId w:val="6"/>
        </w:numPr>
        <w:suppressAutoHyphen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utrata statusu mikro lub małego przedsiębiorstwa może mieć także miejsce w przypadku przejęcia pierwszego z nich przez małe lub średnie przedsiębiorstwo, a w przypadku drugiego z nich w wyniku przejęcia przez średnie przedsiębiorstwo.</w:t>
      </w:r>
    </w:p>
    <w:p w14:paraId="35DAF0CA" w14:textId="67EB8946" w:rsidR="0004505C" w:rsidRPr="003B109D" w:rsidRDefault="0004505C" w:rsidP="008B4038">
      <w:pPr>
        <w:widowControl w:val="0"/>
        <w:tabs>
          <w:tab w:val="left" w:pos="567"/>
          <w:tab w:val="left" w:pos="1134"/>
          <w:tab w:val="left" w:pos="1701"/>
          <w:tab w:val="left" w:pos="2268"/>
        </w:tab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W sytuacjach opisanych w p. 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będą mieściły się w progach określonych dla danej kategorii przedsiębiorstwa.</w:t>
      </w:r>
    </w:p>
    <w:p w14:paraId="449794DB" w14:textId="7749B16B" w:rsidR="0004505C" w:rsidRPr="003B109D" w:rsidRDefault="0004505C" w:rsidP="008B4038">
      <w:pPr>
        <w:pStyle w:val="Tekstprzypisukocowego"/>
        <w:spacing w:before="0" w:line="240" w:lineRule="auto"/>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 xml:space="preserve">W przypadku </w:t>
      </w:r>
      <w:r w:rsidRPr="003B109D">
        <w:rPr>
          <w:rFonts w:ascii="IBM Plex Sans Light" w:hAnsi="IBM Plex Sans Light"/>
          <w:b/>
          <w:bCs/>
          <w:color w:val="000000"/>
          <w:sz w:val="18"/>
          <w:szCs w:val="18"/>
          <w:lang w:eastAsia="x-none"/>
        </w:rPr>
        <w:t>nowoutworzonych</w:t>
      </w:r>
      <w:r w:rsidRPr="003B109D">
        <w:rPr>
          <w:rFonts w:ascii="IBM Plex Sans Light" w:hAnsi="IBM Plex Sans Light"/>
          <w:color w:val="000000"/>
          <w:sz w:val="18"/>
          <w:szCs w:val="18"/>
          <w:lang w:eastAsia="x-none"/>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14:paraId="60812AFE" w14:textId="77777777" w:rsidR="0004505C" w:rsidRPr="003B109D" w:rsidRDefault="0004505C" w:rsidP="008B4038">
      <w:pPr>
        <w:pStyle w:val="Tekstprzypisukocowego"/>
        <w:spacing w:before="0" w:line="240" w:lineRule="auto"/>
        <w:rPr>
          <w:rFonts w:ascii="IBM Plex Sans Light" w:hAnsi="IBM Plex Sans Light"/>
          <w:color w:val="000000"/>
          <w:sz w:val="18"/>
          <w:szCs w:val="18"/>
          <w:lang w:eastAsia="x-none"/>
        </w:rPr>
      </w:pPr>
    </w:p>
  </w:endnote>
  <w:endnote w:id="2">
    <w:p w14:paraId="19AA3024" w14:textId="77777777" w:rsidR="0004505C" w:rsidRPr="003B109D" w:rsidRDefault="0004505C" w:rsidP="008B4038">
      <w:pPr>
        <w:jc w:val="both"/>
        <w:rPr>
          <w:rFonts w:ascii="IBM Plex Sans Light" w:hAnsi="IBM Plex Sans Light"/>
          <w:sz w:val="18"/>
          <w:szCs w:val="18"/>
          <w:lang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sz w:val="18"/>
          <w:szCs w:val="18"/>
          <w:lang w:eastAsia="x-none"/>
        </w:rPr>
        <w:t xml:space="preserve">Za </w:t>
      </w:r>
      <w:r w:rsidRPr="003B109D">
        <w:rPr>
          <w:rFonts w:ascii="IBM Plex Sans Light" w:hAnsi="IBM Plex Sans Light"/>
          <w:b/>
          <w:bCs/>
          <w:sz w:val="18"/>
          <w:szCs w:val="18"/>
          <w:lang w:eastAsia="x-none"/>
        </w:rPr>
        <w:t>„przedsiębiorstwo samodzielne”</w:t>
      </w:r>
      <w:r w:rsidRPr="003B109D">
        <w:rPr>
          <w:rFonts w:ascii="IBM Plex Sans Light" w:hAnsi="IBM Plex Sans Light"/>
          <w:sz w:val="18"/>
          <w:szCs w:val="18"/>
          <w:lang w:eastAsia="x-none"/>
        </w:rPr>
        <w:t xml:space="preserve"> uważa się przedsiębiorstwo:</w:t>
      </w:r>
    </w:p>
    <w:p w14:paraId="3105A627" w14:textId="77777777" w:rsidR="0004505C" w:rsidRPr="003B109D" w:rsidRDefault="0004505C" w:rsidP="00B571AF">
      <w:pPr>
        <w:numPr>
          <w:ilvl w:val="0"/>
          <w:numId w:val="2"/>
        </w:numPr>
        <w:jc w:val="both"/>
        <w:rPr>
          <w:rFonts w:ascii="IBM Plex Sans Light" w:hAnsi="IBM Plex Sans Light"/>
          <w:sz w:val="18"/>
          <w:szCs w:val="18"/>
          <w:lang w:eastAsia="x-none"/>
        </w:rPr>
      </w:pPr>
      <w:r w:rsidRPr="003B109D">
        <w:rPr>
          <w:rFonts w:ascii="IBM Plex Sans Light" w:hAnsi="IBM Plex Sans Light"/>
          <w:sz w:val="18"/>
          <w:szCs w:val="18"/>
          <w:lang w:eastAsia="x-none"/>
        </w:rPr>
        <w:t>które nie posiada 25% lub więcej kapitału lub praw głosu w innym przedsiębiorstwie lub</w:t>
      </w:r>
    </w:p>
    <w:p w14:paraId="40C3EE2D" w14:textId="77777777" w:rsidR="0004505C" w:rsidRPr="003B109D" w:rsidRDefault="0004505C" w:rsidP="00B571AF">
      <w:pPr>
        <w:numPr>
          <w:ilvl w:val="0"/>
          <w:numId w:val="2"/>
        </w:numPr>
        <w:jc w:val="both"/>
        <w:rPr>
          <w:rFonts w:ascii="IBM Plex Sans Light" w:hAnsi="IBM Plex Sans Light"/>
          <w:sz w:val="18"/>
          <w:szCs w:val="18"/>
          <w:lang w:eastAsia="x-none"/>
        </w:rPr>
      </w:pPr>
      <w:r w:rsidRPr="003B109D">
        <w:rPr>
          <w:rFonts w:ascii="IBM Plex Sans Light" w:hAnsi="IBM Plex Sans Light"/>
          <w:sz w:val="18"/>
          <w:szCs w:val="18"/>
          <w:lang w:eastAsia="x-none"/>
        </w:rPr>
        <w:t>w którym inne przedsiębiorstwo nie posiada 25 % lub więcej kapitału lub praw do głosu.</w:t>
      </w:r>
    </w:p>
    <w:p w14:paraId="6EACE43B" w14:textId="794897FB" w:rsidR="0004505C" w:rsidRPr="003B109D" w:rsidRDefault="0004505C" w:rsidP="008B4038">
      <w:pPr>
        <w:jc w:val="both"/>
        <w:rPr>
          <w:rFonts w:ascii="IBM Plex Sans Light" w:hAnsi="IBM Plex Sans Light"/>
          <w:sz w:val="18"/>
          <w:szCs w:val="18"/>
          <w:lang w:eastAsia="x-none"/>
        </w:rPr>
      </w:pPr>
      <w:r w:rsidRPr="003B109D">
        <w:rPr>
          <w:rFonts w:ascii="IBM Plex Sans Light" w:hAnsi="IBM Plex Sans Light"/>
          <w:sz w:val="18"/>
          <w:szCs w:val="18"/>
          <w:lang w:eastAsia="x-none"/>
        </w:rPr>
        <w:t>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wyłączeń blokowych) (</w:t>
      </w:r>
      <w:r w:rsidR="00A879F3" w:rsidRPr="00A879F3">
        <w:rPr>
          <w:rFonts w:ascii="IBM Plex Sans Light" w:hAnsi="IBM Plex Sans Light"/>
          <w:sz w:val="18"/>
          <w:szCs w:val="18"/>
          <w:lang w:eastAsia="x-none"/>
        </w:rPr>
        <w:t>Dz. U. UE. L. z 2014 r. Nr 187, str. 1 z późn. zm</w:t>
      </w:r>
      <w:r w:rsidR="00A879F3">
        <w:rPr>
          <w:rFonts w:ascii="IBM Plex Sans Light" w:hAnsi="IBM Plex Sans Light"/>
          <w:sz w:val="18"/>
          <w:szCs w:val="18"/>
          <w:lang w:eastAsia="x-none"/>
        </w:rPr>
        <w:t>.</w:t>
      </w:r>
      <w:r w:rsidRPr="003B109D">
        <w:rPr>
          <w:rFonts w:ascii="IBM Plex Sans Light" w:hAnsi="IBM Plex Sans Light"/>
          <w:sz w:val="18"/>
          <w:szCs w:val="18"/>
          <w:lang w:eastAsia="x-none"/>
        </w:rPr>
        <w:t>).</w:t>
      </w:r>
    </w:p>
    <w:p w14:paraId="2EC0D564" w14:textId="77777777" w:rsidR="0004505C" w:rsidRPr="003B109D" w:rsidRDefault="0004505C" w:rsidP="008B4038">
      <w:pPr>
        <w:jc w:val="both"/>
        <w:rPr>
          <w:rFonts w:ascii="IBM Plex Sans Light" w:hAnsi="IBM Plex Sans Light"/>
          <w:sz w:val="18"/>
          <w:szCs w:val="18"/>
          <w:lang w:eastAsia="x-none"/>
        </w:rPr>
      </w:pPr>
    </w:p>
  </w:endnote>
  <w:endnote w:id="3">
    <w:p w14:paraId="0ADA464B" w14:textId="77777777" w:rsidR="0004505C" w:rsidRPr="003B109D" w:rsidRDefault="0004505C" w:rsidP="008B4038">
      <w:pPr>
        <w:jc w:val="both"/>
        <w:rPr>
          <w:rFonts w:ascii="IBM Plex Sans Light" w:hAnsi="IBM Plex Sans Light"/>
          <w:color w:val="000000"/>
          <w:sz w:val="18"/>
          <w:szCs w:val="18"/>
          <w:lang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sz w:val="18"/>
          <w:szCs w:val="18"/>
          <w:lang w:eastAsia="x-none"/>
        </w:rPr>
        <w:t xml:space="preserve">Za </w:t>
      </w:r>
      <w:r w:rsidRPr="003B109D">
        <w:rPr>
          <w:rFonts w:ascii="IBM Plex Sans Light" w:hAnsi="IBM Plex Sans Light"/>
          <w:b/>
          <w:bCs/>
          <w:sz w:val="18"/>
          <w:szCs w:val="18"/>
          <w:lang w:eastAsia="x-none"/>
        </w:rPr>
        <w:t>„</w:t>
      </w:r>
      <w:r w:rsidRPr="003B109D">
        <w:rPr>
          <w:rFonts w:ascii="IBM Plex Sans Light" w:hAnsi="IBM Plex Sans Light"/>
          <w:b/>
          <w:bCs/>
          <w:color w:val="000000"/>
          <w:sz w:val="18"/>
          <w:szCs w:val="18"/>
          <w:lang w:eastAsia="x-none"/>
        </w:rPr>
        <w:t>przedsiębiorstwa partnerskie”</w:t>
      </w:r>
      <w:r w:rsidRPr="003B109D">
        <w:rPr>
          <w:rFonts w:ascii="IBM Plex Sans Light" w:hAnsi="IBM Plex Sans Light"/>
          <w:color w:val="000000"/>
          <w:sz w:val="18"/>
          <w:szCs w:val="18"/>
          <w:lang w:eastAsia="x-none"/>
        </w:rPr>
        <w:t xml:space="preserve"> uważa się przedsiębiorstwa:</w:t>
      </w:r>
    </w:p>
    <w:p w14:paraId="72C77293" w14:textId="77777777" w:rsidR="0004505C" w:rsidRPr="003B109D" w:rsidRDefault="0004505C" w:rsidP="00B571AF">
      <w:pPr>
        <w:numPr>
          <w:ilvl w:val="0"/>
          <w:numId w:val="2"/>
        </w:numPr>
        <w:jc w:val="both"/>
        <w:rPr>
          <w:rFonts w:ascii="IBM Plex Sans Light" w:hAnsi="IBM Plex Sans Light"/>
          <w:sz w:val="18"/>
          <w:szCs w:val="18"/>
          <w:lang w:eastAsia="x-none"/>
        </w:rPr>
      </w:pPr>
      <w:r w:rsidRPr="003B109D">
        <w:rPr>
          <w:rFonts w:ascii="IBM Plex Sans Light" w:hAnsi="IBM Plex Sans Light"/>
          <w:color w:val="000000"/>
          <w:sz w:val="18"/>
          <w:szCs w:val="18"/>
          <w:lang w:eastAsia="x-none"/>
        </w:rPr>
        <w:t xml:space="preserve">które posiadają 25 % lub więcej </w:t>
      </w:r>
      <w:r w:rsidRPr="003B109D">
        <w:rPr>
          <w:rFonts w:ascii="IBM Plex Sans Light" w:hAnsi="IBM Plex Sans Light"/>
          <w:sz w:val="18"/>
          <w:szCs w:val="18"/>
          <w:lang w:eastAsia="x-none"/>
        </w:rPr>
        <w:t>kapitału lub praw głosu w innym przedsiębiorstwie lub</w:t>
      </w:r>
    </w:p>
    <w:p w14:paraId="68836E9B" w14:textId="77777777" w:rsidR="0004505C" w:rsidRPr="003B109D" w:rsidRDefault="0004505C" w:rsidP="00B571AF">
      <w:pPr>
        <w:numPr>
          <w:ilvl w:val="0"/>
          <w:numId w:val="2"/>
        </w:numPr>
        <w:jc w:val="both"/>
        <w:rPr>
          <w:rFonts w:ascii="IBM Plex Sans Light" w:hAnsi="IBM Plex Sans Light"/>
          <w:sz w:val="18"/>
          <w:szCs w:val="18"/>
          <w:lang w:eastAsia="x-none"/>
        </w:rPr>
      </w:pPr>
      <w:r w:rsidRPr="003B109D">
        <w:rPr>
          <w:rFonts w:ascii="IBM Plex Sans Light" w:hAnsi="IBM Plex Sans Light"/>
          <w:sz w:val="18"/>
          <w:szCs w:val="18"/>
          <w:lang w:eastAsia="x-none"/>
        </w:rPr>
        <w:t>w którym inne przedsiębiorstwa posiadają 25 % lub więcej kapitału lub praw głosu oraz</w:t>
      </w:r>
    </w:p>
    <w:p w14:paraId="15371E3B" w14:textId="77777777" w:rsidR="0004505C" w:rsidRPr="003B109D" w:rsidRDefault="0004505C" w:rsidP="00B571AF">
      <w:pPr>
        <w:numPr>
          <w:ilvl w:val="0"/>
          <w:numId w:val="2"/>
        </w:numPr>
        <w:jc w:val="both"/>
        <w:rPr>
          <w:rFonts w:ascii="IBM Plex Sans Light" w:hAnsi="IBM Plex Sans Light"/>
          <w:sz w:val="18"/>
          <w:szCs w:val="18"/>
          <w:lang w:eastAsia="x-none"/>
        </w:rPr>
      </w:pPr>
      <w:r w:rsidRPr="003B109D">
        <w:rPr>
          <w:rFonts w:ascii="IBM Plex Sans Light" w:hAnsi="IBM Plex Sans Light"/>
          <w:sz w:val="18"/>
          <w:szCs w:val="18"/>
          <w:lang w:eastAsia="x-none"/>
        </w:rPr>
        <w:t>które nie są przedsiębiorstwami powiązanymi z innymi przedsiębiorstwami.</w:t>
      </w:r>
    </w:p>
    <w:p w14:paraId="7E8F82D0" w14:textId="77777777" w:rsidR="0004505C" w:rsidRPr="003B109D" w:rsidRDefault="0004505C" w:rsidP="008B4038">
      <w:pPr>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Gdy wartość procentu odnosząca się do kapitału lub praw głosu jest różna, należy zastosować wartość wyższą.</w:t>
      </w:r>
    </w:p>
    <w:p w14:paraId="771B3B1F" w14:textId="36C739DE" w:rsidR="0004505C" w:rsidRPr="003B109D" w:rsidRDefault="0004505C" w:rsidP="008B4038">
      <w:pPr>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Przedsiębiorstwami partnerskimi będą więc wszystkie przedsiębiorstwa, które nie zostały zakwalifikowane jako przedsiębiorstwa powiązane i które pozostają w następującym wzajemnym związku:</w:t>
      </w:r>
      <w:r w:rsidRPr="003B109D">
        <w:rPr>
          <w:rFonts w:ascii="IBM Plex Sans Light" w:hAnsi="IBM Plex Sans Light"/>
          <w:b/>
          <w:bCs/>
          <w:color w:val="000000"/>
          <w:sz w:val="18"/>
          <w:szCs w:val="18"/>
          <w:lang w:eastAsia="x-none"/>
        </w:rPr>
        <w:t xml:space="preserve"> </w:t>
      </w:r>
      <w:r w:rsidRPr="003B109D">
        <w:rPr>
          <w:rFonts w:ascii="IBM Plex Sans Light" w:hAnsi="IBM Plex Sans Light"/>
          <w:color w:val="000000"/>
          <w:sz w:val="18"/>
          <w:szCs w:val="18"/>
          <w:lang w:eastAsia="x-none"/>
        </w:rPr>
        <w:t>przedsiębiorstwo (typu „upstream”) posiada, samodzielnie lub wspólnie z jednym lub kilkoma przedsiębiorstwami powiązanymi, 25% lub więcej kapitału lub praw głosu drugiego przedsiębiorstwa (przedsiębiorstwa typu „downstream”).</w:t>
      </w:r>
    </w:p>
    <w:p w14:paraId="6DF580B2" w14:textId="77777777" w:rsidR="0004505C" w:rsidRPr="003B109D" w:rsidRDefault="0004505C" w:rsidP="008B4038">
      <w:pPr>
        <w:jc w:val="both"/>
        <w:rPr>
          <w:rFonts w:ascii="IBM Plex Sans Light" w:hAnsi="IBM Plex Sans Light"/>
          <w:color w:val="000000"/>
          <w:sz w:val="18"/>
          <w:szCs w:val="18"/>
          <w:lang w:eastAsia="x-none"/>
        </w:rPr>
      </w:pPr>
    </w:p>
  </w:endnote>
  <w:endnote w:id="4">
    <w:p w14:paraId="1EBF3F8B" w14:textId="77777777" w:rsidR="0004505C" w:rsidRPr="003B109D" w:rsidRDefault="0004505C" w:rsidP="008B4038">
      <w:pPr>
        <w:jc w:val="both"/>
        <w:rPr>
          <w:rFonts w:ascii="IBM Plex Sans Light" w:hAnsi="IBM Plex Sans Light"/>
          <w:sz w:val="18"/>
          <w:szCs w:val="18"/>
          <w:lang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b/>
          <w:bCs/>
          <w:sz w:val="18"/>
          <w:szCs w:val="18"/>
          <w:lang w:eastAsia="x-none"/>
        </w:rPr>
        <w:t xml:space="preserve">„Przedsiębiorstwa powiązane” </w:t>
      </w:r>
      <w:r w:rsidRPr="003B109D">
        <w:rPr>
          <w:rFonts w:ascii="IBM Plex Sans Light" w:hAnsi="IBM Plex Sans Light"/>
          <w:sz w:val="18"/>
          <w:szCs w:val="18"/>
          <w:lang w:eastAsia="x-none"/>
        </w:rPr>
        <w:t>oznaczają przedsiębiorstwa, które pozostają w jednym z poniższych związków:</w:t>
      </w:r>
    </w:p>
    <w:p w14:paraId="29F585F3" w14:textId="77777777" w:rsidR="0004505C" w:rsidRPr="003B109D" w:rsidRDefault="0004505C" w:rsidP="00B571AF">
      <w:pPr>
        <w:widowControl w:val="0"/>
        <w:numPr>
          <w:ilvl w:val="0"/>
          <w:numId w:val="3"/>
        </w:numPr>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przedsiębiorstwo posiada większość praw głosu w roli udziałowca/akcjonariusza lub członka w innym przedsiębiorstwie;</w:t>
      </w:r>
    </w:p>
    <w:p w14:paraId="4B207592" w14:textId="77777777" w:rsidR="0004505C" w:rsidRPr="003B109D" w:rsidRDefault="0004505C" w:rsidP="00B571AF">
      <w:pPr>
        <w:widowControl w:val="0"/>
        <w:numPr>
          <w:ilvl w:val="0"/>
          <w:numId w:val="3"/>
        </w:numPr>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przedsiębiorstwo ma prawo wyznaczyć lub odwołać większość członków organu administracyjnego, zarządzającego lub nadzorczego innego przedsiębiorstwa;</w:t>
      </w:r>
    </w:p>
    <w:p w14:paraId="374B4804" w14:textId="77777777" w:rsidR="0004505C" w:rsidRPr="003B109D" w:rsidRDefault="0004505C" w:rsidP="00B571AF">
      <w:pPr>
        <w:widowControl w:val="0"/>
        <w:numPr>
          <w:ilvl w:val="0"/>
          <w:numId w:val="3"/>
        </w:numPr>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przedsiębiorstwo ma prawo wywierać dominujący wpływ na inne przedsiębiorstwo na mocy umowy zawartej z tym przedsiębiorstwem lub postanowień w jego statucie lub umowie spółki;</w:t>
      </w:r>
    </w:p>
    <w:p w14:paraId="5E16A375" w14:textId="77777777" w:rsidR="0004505C" w:rsidRPr="003B109D" w:rsidRDefault="0004505C" w:rsidP="00B571AF">
      <w:pPr>
        <w:widowControl w:val="0"/>
        <w:numPr>
          <w:ilvl w:val="0"/>
          <w:numId w:val="3"/>
        </w:numPr>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589AFD3" w14:textId="77777777" w:rsidR="0004505C" w:rsidRPr="003B109D" w:rsidRDefault="0004505C" w:rsidP="008B4038">
      <w:pPr>
        <w:jc w:val="both"/>
        <w:rPr>
          <w:rFonts w:ascii="IBM Plex Sans Light" w:hAnsi="IBM Plex Sans Light"/>
          <w:sz w:val="18"/>
          <w:szCs w:val="18"/>
          <w:lang w:eastAsia="x-none"/>
        </w:rPr>
      </w:pPr>
    </w:p>
    <w:p w14:paraId="2E2AEFD8" w14:textId="77777777" w:rsidR="0004505C" w:rsidRPr="003B109D" w:rsidRDefault="0004505C" w:rsidP="008B4038">
      <w:pPr>
        <w:widowControl w:val="0"/>
        <w:ind w:left="851" w:hanging="284"/>
        <w:jc w:val="both"/>
        <w:rPr>
          <w:rFonts w:ascii="IBM Plex Sans Light" w:hAnsi="IBM Plex Sans Light"/>
          <w:color w:val="000000"/>
          <w:sz w:val="18"/>
          <w:szCs w:val="18"/>
          <w:lang w:eastAsia="x-none"/>
        </w:rPr>
      </w:pPr>
      <w:r w:rsidRPr="003B109D">
        <w:rPr>
          <w:rFonts w:ascii="IBM Plex Sans Light" w:hAnsi="IBM Plex Sans Light"/>
          <w:b/>
          <w:bCs/>
          <w:color w:val="000000"/>
          <w:sz w:val="18"/>
          <w:szCs w:val="18"/>
          <w:vertAlign w:val="superscript"/>
          <w:lang w:eastAsia="x-none"/>
        </w:rPr>
        <w:t xml:space="preserve">4a </w:t>
      </w:r>
      <w:r w:rsidRPr="003B109D">
        <w:rPr>
          <w:rFonts w:ascii="IBM Plex Sans Light" w:hAnsi="IBM Plex Sans Light"/>
          <w:color w:val="000000"/>
          <w:sz w:val="18"/>
          <w:szCs w:val="18"/>
          <w:lang w:eastAsia="x-none"/>
        </w:rPr>
        <w:t>Za</w:t>
      </w:r>
      <w:r w:rsidRPr="003B109D">
        <w:rPr>
          <w:rFonts w:ascii="IBM Plex Sans Light" w:hAnsi="IBM Plex Sans Light"/>
          <w:b/>
          <w:bCs/>
          <w:color w:val="000000"/>
          <w:sz w:val="18"/>
          <w:szCs w:val="18"/>
          <w:lang w:eastAsia="x-none"/>
        </w:rPr>
        <w:t xml:space="preserve"> „przedsiębiorstwa powiązane przez osoby fizyczne”</w:t>
      </w:r>
      <w:r w:rsidRPr="003B109D">
        <w:rPr>
          <w:rFonts w:ascii="IBM Plex Sans Light" w:hAnsi="IBM Plex Sans Light"/>
          <w:color w:val="000000"/>
          <w:sz w:val="18"/>
          <w:szCs w:val="18"/>
          <w:lang w:eastAsia="x-none"/>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14:paraId="4040022B" w14:textId="77777777" w:rsidR="0004505C" w:rsidRPr="003B109D" w:rsidRDefault="0004505C" w:rsidP="008B4038">
      <w:pPr>
        <w:widowControl w:val="0"/>
        <w:ind w:left="851"/>
        <w:jc w:val="both"/>
        <w:rPr>
          <w:rFonts w:ascii="IBM Plex Sans Light" w:hAnsi="IBM Plex Sans Light"/>
          <w:color w:val="000000"/>
          <w:sz w:val="18"/>
          <w:szCs w:val="18"/>
          <w:lang w:eastAsia="x-none"/>
        </w:rPr>
      </w:pPr>
      <w:r w:rsidRPr="003B109D">
        <w:rPr>
          <w:rFonts w:ascii="IBM Plex Sans Light" w:hAnsi="IBM Plex Sans Light"/>
          <w:bCs/>
          <w:sz w:val="18"/>
          <w:szCs w:val="18"/>
          <w:lang w:eastAsia="x-none"/>
        </w:rPr>
        <w:t>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 jednym jak i drugim przedsiębiorstwie posiadają możliwość sprawowania nad nimi kontroli (wg. warunków związania z pkt 5 oświadczenia), przy czym przedsiębiorstwa te muszą dodatkowo działać na tym samym właściwym rynku lub rynkach pokrewnych.</w:t>
      </w:r>
    </w:p>
    <w:p w14:paraId="729FF725" w14:textId="77777777" w:rsidR="0004505C" w:rsidRPr="003B109D" w:rsidRDefault="0004505C" w:rsidP="008B4038">
      <w:pPr>
        <w:widowControl w:val="0"/>
        <w:jc w:val="both"/>
        <w:rPr>
          <w:rFonts w:ascii="IBM Plex Sans Light" w:hAnsi="IBM Plex Sans Light"/>
          <w:color w:val="000000"/>
          <w:sz w:val="18"/>
          <w:szCs w:val="18"/>
          <w:lang w:eastAsia="x-none"/>
        </w:rPr>
      </w:pPr>
    </w:p>
    <w:p w14:paraId="7DD94A3D"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xml:space="preserve">Badając możliwość wystąpienia powiązania przedsiębiorstw poprzez osoby fizyczne działające wspólnie należy także wziąć pod uwagę relacje, które zachodzą pomiędzy tymi osobami fizycznymi, </w:t>
      </w:r>
      <w:r w:rsidRPr="003B109D">
        <w:rPr>
          <w:rFonts w:ascii="IBM Plex Sans Light" w:hAnsi="IBM Plex Sans Light"/>
          <w:sz w:val="18"/>
          <w:szCs w:val="18"/>
          <w:lang w:val="x-none" w:eastAsia="x-none"/>
        </w:rPr>
        <w:br/>
        <w:t>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14:paraId="1401F37C"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wspólna klientela,</w:t>
      </w:r>
    </w:p>
    <w:p w14:paraId="29E69020"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brak wyodrębnienia finansowego,</w:t>
      </w:r>
    </w:p>
    <w:p w14:paraId="0D33D852"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wspólne użytkowanie bazy logistycznej np. zajmowanie tego samego budynku (lokalu), środków transportu,</w:t>
      </w:r>
    </w:p>
    <w:p w14:paraId="18FE7A36"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wspólny sposób prowadzenia biznesu,</w:t>
      </w:r>
    </w:p>
    <w:p w14:paraId="75A33AD6"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korzystanie z tych samych kanałów dystrybucji,</w:t>
      </w:r>
    </w:p>
    <w:p w14:paraId="1215200D"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14:paraId="4F7B5363" w14:textId="77777777" w:rsidR="0004505C" w:rsidRPr="003B109D" w:rsidRDefault="0004505C" w:rsidP="008B4038">
      <w:pPr>
        <w:ind w:left="851"/>
        <w:jc w:val="both"/>
        <w:rPr>
          <w:rFonts w:ascii="IBM Plex Sans Light" w:hAnsi="IBM Plex Sans Light"/>
          <w:sz w:val="18"/>
          <w:szCs w:val="18"/>
          <w:lang w:val="x-none" w:eastAsia="x-none"/>
        </w:rPr>
      </w:pPr>
      <w:r w:rsidRPr="003B109D">
        <w:rPr>
          <w:rFonts w:ascii="IBM Plex Sans Light" w:hAnsi="IBM Plex Sans Light"/>
          <w:sz w:val="18"/>
          <w:szCs w:val="18"/>
          <w:lang w:val="x-none" w:eastAsia="x-none"/>
        </w:rPr>
        <w:t>- wspólna strona internetowa – z jej treści może również wynikać, iż przedsiębiorcy prowadzą wspólną działalność,</w:t>
      </w:r>
    </w:p>
    <w:p w14:paraId="493ACD70" w14:textId="77777777" w:rsidR="0004505C" w:rsidRPr="003B109D" w:rsidRDefault="0004505C" w:rsidP="008B4038">
      <w:pPr>
        <w:widowControl w:val="0"/>
        <w:tabs>
          <w:tab w:val="left" w:pos="567"/>
          <w:tab w:val="left" w:pos="1134"/>
          <w:tab w:val="left" w:pos="1701"/>
          <w:tab w:val="left" w:pos="2268"/>
        </w:tabs>
        <w:ind w:left="851"/>
        <w:jc w:val="both"/>
        <w:rPr>
          <w:rFonts w:ascii="IBM Plex Sans Light" w:hAnsi="IBM Plex Sans Light"/>
          <w:sz w:val="18"/>
          <w:szCs w:val="18"/>
          <w:lang w:eastAsia="x-none"/>
        </w:rPr>
      </w:pPr>
      <w:r w:rsidRPr="003B109D">
        <w:rPr>
          <w:rFonts w:ascii="IBM Plex Sans Light" w:hAnsi="IBM Plex Sans Light"/>
          <w:sz w:val="18"/>
          <w:szCs w:val="18"/>
          <w:lang w:eastAsia="x-none"/>
        </w:rPr>
        <w:t>- wspólni pracownicy.</w:t>
      </w:r>
    </w:p>
    <w:p w14:paraId="6FE81EAC" w14:textId="77777777" w:rsidR="0004505C" w:rsidRPr="003B109D" w:rsidRDefault="0004505C" w:rsidP="008B4038">
      <w:pPr>
        <w:widowControl w:val="0"/>
        <w:tabs>
          <w:tab w:val="left" w:pos="567"/>
          <w:tab w:val="left" w:pos="1134"/>
          <w:tab w:val="left" w:pos="1701"/>
          <w:tab w:val="left" w:pos="2268"/>
        </w:tabs>
        <w:ind w:left="709"/>
        <w:jc w:val="both"/>
        <w:rPr>
          <w:rFonts w:ascii="IBM Plex Sans Light" w:hAnsi="IBM Plex Sans Light"/>
          <w:bCs/>
          <w:color w:val="000000"/>
          <w:sz w:val="18"/>
          <w:szCs w:val="18"/>
          <w:lang w:eastAsia="x-none"/>
        </w:rPr>
      </w:pPr>
      <w:r w:rsidRPr="003B109D">
        <w:rPr>
          <w:rFonts w:ascii="IBM Plex Sans Light" w:hAnsi="IBM Plex Sans Light"/>
          <w:bCs/>
          <w:color w:val="000000"/>
          <w:sz w:val="18"/>
          <w:szCs w:val="18"/>
          <w:lang w:eastAsia="x-none"/>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14:paraId="4EA006C7" w14:textId="0D53A59F" w:rsidR="0004505C" w:rsidRPr="003B109D" w:rsidRDefault="0004505C" w:rsidP="008B4038">
      <w:pPr>
        <w:pStyle w:val="Tekstprzypisukocowego"/>
        <w:spacing w:before="0" w:line="240" w:lineRule="auto"/>
        <w:rPr>
          <w:rFonts w:ascii="IBM Plex Sans Light" w:hAnsi="IBM Plex Sans Light"/>
          <w:sz w:val="18"/>
          <w:szCs w:val="18"/>
          <w:lang w:eastAsia="x-none"/>
        </w:rPr>
      </w:pPr>
      <w:r w:rsidRPr="003B109D">
        <w:rPr>
          <w:rFonts w:ascii="IBM Plex Sans Light" w:hAnsi="IBM Plex Sans Light"/>
          <w:sz w:val="18"/>
          <w:szCs w:val="18"/>
          <w:lang w:eastAsia="x-none"/>
        </w:rPr>
        <w:t>Za „</w:t>
      </w:r>
      <w:r w:rsidRPr="003B109D">
        <w:rPr>
          <w:rFonts w:ascii="IBM Plex Sans Light" w:hAnsi="IBM Plex Sans Light"/>
          <w:b/>
          <w:bCs/>
          <w:sz w:val="18"/>
          <w:szCs w:val="18"/>
          <w:lang w:eastAsia="x-none"/>
        </w:rPr>
        <w:t>rynek pokrewny</w:t>
      </w:r>
      <w:r w:rsidRPr="003B109D">
        <w:rPr>
          <w:rFonts w:ascii="IBM Plex Sans Light" w:hAnsi="IBM Plex Sans Light"/>
          <w:sz w:val="18"/>
          <w:szCs w:val="18"/>
          <w:lang w:eastAsia="x-none"/>
        </w:rPr>
        <w:t>” uważa się rynek dla danego produktu lub usługi znajdujący się bezpośrednio na wyższym lub niższym szczeblu rynku w stosunku do rynku właściwego.</w:t>
      </w:r>
    </w:p>
    <w:p w14:paraId="37721BDB" w14:textId="77777777" w:rsidR="0004505C" w:rsidRPr="003B109D" w:rsidRDefault="0004505C" w:rsidP="008B4038">
      <w:pPr>
        <w:pStyle w:val="Tekstprzypisukocowego"/>
        <w:spacing w:before="0" w:line="240" w:lineRule="auto"/>
        <w:rPr>
          <w:rFonts w:ascii="IBM Plex Sans Light" w:hAnsi="IBM Plex Sans Light"/>
          <w:sz w:val="18"/>
          <w:szCs w:val="18"/>
          <w:lang w:eastAsia="x-none"/>
        </w:rPr>
      </w:pPr>
    </w:p>
  </w:endnote>
  <w:endnote w:id="5">
    <w:p w14:paraId="4B861E69" w14:textId="6EC09BDA" w:rsidR="0004505C" w:rsidRPr="003B109D" w:rsidRDefault="0004505C" w:rsidP="008B4038">
      <w:pPr>
        <w:jc w:val="both"/>
        <w:rPr>
          <w:rFonts w:ascii="IBM Plex Sans Light" w:hAnsi="IBM Plex Sans Light"/>
          <w:sz w:val="18"/>
          <w:szCs w:val="18"/>
          <w:lang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sz w:val="18"/>
          <w:szCs w:val="18"/>
          <w:lang w:eastAsia="x-none"/>
        </w:rPr>
        <w:t xml:space="preserve">W przypadku, gdy Zgłoszeniodawca pozostaje z innym przedsiębiorcą w związku przedsiębiorstw partnerskich albo powiązanych, Zgłoszeniodawca wypełnia Tabele 3 i/lub 4 a następnie dokonuje obliczenia odpowiednio </w:t>
      </w:r>
      <w:r w:rsidRPr="003B109D">
        <w:rPr>
          <w:rFonts w:ascii="IBM Plex Sans Light" w:hAnsi="IBM Plex Sans Light"/>
          <w:b/>
          <w:bCs/>
          <w:sz w:val="18"/>
          <w:szCs w:val="18"/>
          <w:lang w:eastAsia="x-none"/>
        </w:rPr>
        <w:t>skumulowanych danych tych przedsiębiorców ze swoimi danymi</w:t>
      </w:r>
      <w:r w:rsidRPr="003B109D">
        <w:rPr>
          <w:rFonts w:ascii="IBM Plex Sans Light" w:hAnsi="IBM Plex Sans Light"/>
          <w:sz w:val="18"/>
          <w:szCs w:val="18"/>
          <w:lang w:eastAsia="x-none"/>
        </w:rPr>
        <w:t>, zgodnie z rozporządzeniem Komisji (UE) Nr 651/2014 z dnia 17 czerwca 2014 r. uznającym niektóre rodzaje pomocy za zgodne z rynkiem wewnętrznym w zastosowaniu art. 107 i 108 Traktatu (ogólne rozporządzenie w sprawie wyłączeń blokowych) (</w:t>
      </w:r>
      <w:r w:rsidR="00A879F3" w:rsidRPr="00A879F3">
        <w:rPr>
          <w:rFonts w:ascii="IBM Plex Sans Light" w:hAnsi="IBM Plex Sans Light"/>
          <w:sz w:val="18"/>
          <w:szCs w:val="18"/>
          <w:lang w:eastAsia="x-none"/>
        </w:rPr>
        <w:t>Dz. U. UE. L. z 2014 r. Nr 187, str. 1 z późn. zm</w:t>
      </w:r>
      <w:r w:rsidR="00A879F3">
        <w:rPr>
          <w:rFonts w:ascii="IBM Plex Sans Light" w:hAnsi="IBM Plex Sans Light"/>
          <w:sz w:val="18"/>
          <w:szCs w:val="18"/>
          <w:lang w:eastAsia="x-none"/>
        </w:rPr>
        <w:t>.</w:t>
      </w:r>
      <w:r w:rsidRPr="003B109D">
        <w:rPr>
          <w:rFonts w:ascii="IBM Plex Sans Light" w:hAnsi="IBM Plex Sans Light"/>
          <w:sz w:val="18"/>
          <w:szCs w:val="18"/>
          <w:lang w:eastAsia="x-none"/>
        </w:rPr>
        <w:t xml:space="preserve">). </w:t>
      </w:r>
    </w:p>
    <w:p w14:paraId="66E0F04D" w14:textId="0F6C2BD7" w:rsidR="0004505C" w:rsidRPr="003B109D" w:rsidRDefault="0004505C" w:rsidP="00B571AF">
      <w:pPr>
        <w:pStyle w:val="Akapitzlist"/>
        <w:numPr>
          <w:ilvl w:val="0"/>
          <w:numId w:val="7"/>
        </w:numPr>
        <w:jc w:val="both"/>
        <w:rPr>
          <w:rFonts w:ascii="IBM Plex Sans Light" w:hAnsi="IBM Plex Sans Light"/>
          <w:color w:val="000000"/>
          <w:sz w:val="18"/>
          <w:szCs w:val="18"/>
          <w:u w:val="single"/>
          <w:lang w:eastAsia="x-none"/>
        </w:rPr>
      </w:pPr>
      <w:r w:rsidRPr="003B109D">
        <w:rPr>
          <w:rFonts w:ascii="IBM Plex Sans Light" w:hAnsi="IBM Plex Sans Light"/>
          <w:color w:val="000000"/>
          <w:sz w:val="18"/>
          <w:szCs w:val="18"/>
          <w:lang w:eastAsia="x-none"/>
        </w:rPr>
        <w:t xml:space="preserve">W przypadku przedsiębiorstwa </w:t>
      </w:r>
      <w:r w:rsidRPr="003B109D">
        <w:rPr>
          <w:rFonts w:ascii="IBM Plex Sans Light" w:hAnsi="IBM Plex Sans Light"/>
          <w:b/>
          <w:bCs/>
          <w:color w:val="000000"/>
          <w:sz w:val="18"/>
          <w:szCs w:val="18"/>
          <w:lang w:eastAsia="x-none"/>
        </w:rPr>
        <w:t>samodzielnego</w:t>
      </w:r>
      <w:r w:rsidRPr="003B109D">
        <w:rPr>
          <w:rFonts w:ascii="IBM Plex Sans Light" w:hAnsi="IBM Plex Sans Light"/>
          <w:color w:val="000000"/>
          <w:sz w:val="18"/>
          <w:szCs w:val="18"/>
          <w:lang w:eastAsia="x-none"/>
        </w:rPr>
        <w:t xml:space="preserve"> dane dotyczące zatrudnienia oraz dane dotyczące wielkości obrotu i rocznej sumy bilansowej tego przedsiębiorstwa ustalane są wyłącznie na podstawie rachunków tego przedsiębiorstwa.</w:t>
      </w:r>
    </w:p>
    <w:p w14:paraId="29CE716F" w14:textId="77777777" w:rsidR="0004505C" w:rsidRPr="003B109D" w:rsidRDefault="0004505C" w:rsidP="00B571AF">
      <w:pPr>
        <w:numPr>
          <w:ilvl w:val="0"/>
          <w:numId w:val="7"/>
        </w:numPr>
        <w:jc w:val="both"/>
        <w:rPr>
          <w:rFonts w:ascii="IBM Plex Sans Light" w:hAnsi="IBM Plex Sans Light"/>
          <w:sz w:val="18"/>
          <w:szCs w:val="18"/>
          <w:lang w:eastAsia="x-none"/>
        </w:rPr>
      </w:pPr>
      <w:r w:rsidRPr="003B109D">
        <w:rPr>
          <w:rFonts w:ascii="IBM Plex Sans Light" w:hAnsi="IBM Plex Sans Light"/>
          <w:color w:val="000000"/>
          <w:sz w:val="18"/>
          <w:szCs w:val="18"/>
          <w:lang w:eastAsia="x-none"/>
        </w:rPr>
        <w:t xml:space="preserve">W przypadku przedsiębiorstw </w:t>
      </w:r>
      <w:r w:rsidRPr="003B109D">
        <w:rPr>
          <w:rFonts w:ascii="IBM Plex Sans Light" w:hAnsi="IBM Plex Sans Light"/>
          <w:b/>
          <w:bCs/>
          <w:color w:val="000000"/>
          <w:sz w:val="18"/>
          <w:szCs w:val="18"/>
          <w:lang w:eastAsia="x-none"/>
        </w:rPr>
        <w:t>partnerskich</w:t>
      </w:r>
      <w:r w:rsidRPr="003B109D">
        <w:rPr>
          <w:rFonts w:ascii="IBM Plex Sans Light" w:hAnsi="IBM Plex Sans Light"/>
          <w:color w:val="000000"/>
          <w:sz w:val="18"/>
          <w:szCs w:val="18"/>
          <w:lang w:eastAsia="x-none"/>
        </w:rPr>
        <w:t xml:space="preserve">, do danych przedsiębiorstwa Wnioskodawcy dotyczących zatrudnienia oraz danych dotyczących wielkości obrotu i rocznej sumy bilansowej, należy dodać dane każdego przedsiębiorstwa partnerskiego, </w:t>
      </w:r>
      <w:r w:rsidRPr="003B109D">
        <w:rPr>
          <w:rFonts w:ascii="IBM Plex Sans Light" w:hAnsi="IBM Plex Sans Light"/>
          <w:color w:val="000000"/>
          <w:sz w:val="18"/>
          <w:szCs w:val="18"/>
          <w:u w:val="single"/>
          <w:lang w:eastAsia="x-none"/>
        </w:rPr>
        <w:t>proporcjonalnie do procentowego udziału w kapitale lub w prawie głosu (zależnie od tego, która z tych wartości jest większa)</w:t>
      </w:r>
      <w:r w:rsidRPr="003B109D">
        <w:rPr>
          <w:rFonts w:ascii="IBM Plex Sans Light" w:hAnsi="IBM Plex Sans Light"/>
          <w:color w:val="000000"/>
          <w:sz w:val="18"/>
          <w:szCs w:val="18"/>
          <w:lang w:eastAsia="x-none"/>
        </w:rPr>
        <w:t>. W przypadku przedsiębiorstw posiadających nawzajem akacje/udziały/prawa głosu (cross-holding) stosuje się wyższy procent.</w:t>
      </w:r>
    </w:p>
    <w:p w14:paraId="7C15C6BF" w14:textId="65A298D8" w:rsidR="0004505C" w:rsidRPr="003B109D" w:rsidRDefault="0004505C" w:rsidP="00B571AF">
      <w:pPr>
        <w:numPr>
          <w:ilvl w:val="0"/>
          <w:numId w:val="7"/>
        </w:numPr>
        <w:jc w:val="both"/>
        <w:rPr>
          <w:rFonts w:ascii="IBM Plex Sans Light" w:hAnsi="IBM Plex Sans Light"/>
          <w:sz w:val="18"/>
          <w:szCs w:val="18"/>
          <w:lang w:eastAsia="x-none"/>
        </w:rPr>
      </w:pPr>
      <w:r w:rsidRPr="003B109D">
        <w:rPr>
          <w:rFonts w:ascii="IBM Plex Sans Light" w:hAnsi="IBM Plex Sans Light"/>
          <w:color w:val="000000"/>
          <w:sz w:val="18"/>
          <w:szCs w:val="18"/>
          <w:lang w:eastAsia="x-none"/>
        </w:rPr>
        <w:t xml:space="preserve">W przypadku przedsiębiorstw </w:t>
      </w:r>
      <w:r w:rsidRPr="003B109D">
        <w:rPr>
          <w:rFonts w:ascii="IBM Plex Sans Light" w:hAnsi="IBM Plex Sans Light"/>
          <w:b/>
          <w:bCs/>
          <w:color w:val="000000"/>
          <w:sz w:val="18"/>
          <w:szCs w:val="18"/>
          <w:lang w:eastAsia="x-none"/>
        </w:rPr>
        <w:t>powiązanych</w:t>
      </w:r>
      <w:r w:rsidRPr="003B109D">
        <w:rPr>
          <w:rFonts w:ascii="IBM Plex Sans Light" w:hAnsi="IBM Plex Sans Light"/>
          <w:color w:val="000000"/>
          <w:sz w:val="18"/>
          <w:szCs w:val="18"/>
          <w:lang w:eastAsia="x-none"/>
        </w:rPr>
        <w:t>, do danych przedsiębiorstwa Wnioskodawcy dotyczących zatrudnienia oraz danych dotyczących wielkości obrotu i rocznej sumy bilansowej dodaje się w 100% dane przedsiębiorstwa powiązanego.</w:t>
      </w:r>
    </w:p>
    <w:p w14:paraId="6A767A41" w14:textId="77777777" w:rsidR="0004505C" w:rsidRPr="003B109D" w:rsidRDefault="0004505C" w:rsidP="008B4038">
      <w:pPr>
        <w:widowControl w:val="0"/>
        <w:tabs>
          <w:tab w:val="left" w:pos="567"/>
          <w:tab w:val="left" w:pos="1134"/>
          <w:tab w:val="left" w:pos="1701"/>
          <w:tab w:val="left" w:pos="2268"/>
        </w:tabs>
        <w:jc w:val="both"/>
        <w:rPr>
          <w:rFonts w:ascii="IBM Plex Sans Light" w:hAnsi="IBM Plex Sans Light"/>
          <w:b/>
          <w:bCs/>
          <w:color w:val="000000"/>
          <w:sz w:val="18"/>
          <w:szCs w:val="18"/>
          <w:lang w:eastAsia="x-none"/>
        </w:rPr>
      </w:pPr>
    </w:p>
    <w:p w14:paraId="5E3D0CF7" w14:textId="77777777" w:rsidR="0004505C" w:rsidRPr="003B109D" w:rsidRDefault="0004505C" w:rsidP="008B4038">
      <w:pPr>
        <w:widowControl w:val="0"/>
        <w:tabs>
          <w:tab w:val="left" w:pos="567"/>
          <w:tab w:val="left" w:pos="1134"/>
          <w:tab w:val="left" w:pos="1701"/>
          <w:tab w:val="left" w:pos="2268"/>
        </w:tabs>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w:t>
      </w:r>
      <w:r w:rsidRPr="003B109D">
        <w:rPr>
          <w:rFonts w:ascii="IBM Plex Sans Light" w:hAnsi="IBM Plex Sans Light"/>
          <w:color w:val="000000"/>
          <w:sz w:val="18"/>
          <w:szCs w:val="18"/>
          <w:lang w:eastAsia="x-none"/>
        </w:rPr>
        <w:br/>
        <w:t xml:space="preserve">i nie jest ono tożsame z zatwierdzeniem tego sprawozdania przez odpowiedni organ przedsiębiorstwa. </w:t>
      </w:r>
    </w:p>
    <w:p w14:paraId="67275B83" w14:textId="77777777" w:rsidR="0004505C" w:rsidRPr="003B109D" w:rsidRDefault="0004505C" w:rsidP="008B4038">
      <w:pPr>
        <w:jc w:val="both"/>
        <w:rPr>
          <w:rFonts w:ascii="IBM Plex Sans Light" w:hAnsi="IBM Plex Sans Light"/>
          <w:b/>
          <w:bCs/>
          <w:sz w:val="18"/>
          <w:szCs w:val="18"/>
          <w:lang w:eastAsia="x-none"/>
        </w:rPr>
      </w:pPr>
      <w:r w:rsidRPr="003B109D">
        <w:rPr>
          <w:rFonts w:ascii="IBM Plex Sans Light" w:hAnsi="IBM Plex Sans Light"/>
          <w:color w:val="000000"/>
          <w:sz w:val="18"/>
          <w:szCs w:val="18"/>
          <w:lang w:eastAsia="x-none"/>
        </w:rPr>
        <w:t>W przypadku nowoutworzonych przedsiębiorstw, których księgi rachunkowe jeszcze nie zostały zamknięte dane, które mają zastosowanie - pochodzą z oceny dokonanej w dobrej wierze zgodnie z najlepszą praktyką w trakcie roku obrachunkowego.</w:t>
      </w:r>
    </w:p>
    <w:p w14:paraId="3C830A38" w14:textId="2381D583" w:rsidR="0004505C" w:rsidRPr="003B109D" w:rsidRDefault="0004505C" w:rsidP="008B4038">
      <w:pPr>
        <w:pStyle w:val="Tekstprzypisukocowego"/>
        <w:spacing w:before="0" w:line="240" w:lineRule="auto"/>
        <w:rPr>
          <w:rFonts w:ascii="IBM Plex Sans Light" w:hAnsi="IBM Plex Sans Light"/>
          <w:sz w:val="18"/>
          <w:szCs w:val="18"/>
        </w:rPr>
      </w:pPr>
    </w:p>
  </w:endnote>
  <w:endnote w:id="6">
    <w:p w14:paraId="6C9B33FF" w14:textId="0CF4751B" w:rsidR="005D175A" w:rsidRPr="003B109D" w:rsidRDefault="005D175A" w:rsidP="008B4038">
      <w:pPr>
        <w:widowControl w:val="0"/>
        <w:tabs>
          <w:tab w:val="left" w:pos="567"/>
          <w:tab w:val="left" w:pos="1134"/>
          <w:tab w:val="left" w:pos="1701"/>
          <w:tab w:val="left" w:pos="2268"/>
        </w:tabs>
        <w:jc w:val="both"/>
        <w:rPr>
          <w:rFonts w:ascii="IBM Plex Sans Light" w:hAnsi="IBM Plex Sans Light"/>
          <w:color w:val="000000"/>
          <w:sz w:val="18"/>
          <w:szCs w:val="18"/>
          <w:lang w:val="en-US" w:eastAsia="x-none"/>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b/>
          <w:bCs/>
          <w:color w:val="000000"/>
          <w:sz w:val="18"/>
          <w:szCs w:val="18"/>
          <w:lang w:eastAsia="x-none"/>
        </w:rPr>
        <w:t>Liczba zatrudnionych</w:t>
      </w:r>
      <w:r w:rsidRPr="003B109D">
        <w:rPr>
          <w:rFonts w:ascii="IBM Plex Sans Light" w:hAnsi="IBM Plex Sans Light"/>
          <w:color w:val="000000"/>
          <w:sz w:val="18"/>
          <w:szCs w:val="18"/>
          <w:lang w:eastAsia="x-none"/>
        </w:rPr>
        <w:t xml:space="preserve"> osób odpowiada liczbie „rocznych jednostek pracy” (RJP) / ”rocznych jednostek roboczych (RJR) , to jest liczbie pracowników zatrudnionych w pełnym wymiarze czasu (na pełnych etatach) </w:t>
      </w:r>
      <w:r w:rsidRPr="003B109D">
        <w:rPr>
          <w:rFonts w:ascii="IBM Plex Sans Light" w:hAnsi="IBM Plex Sans Light"/>
          <w:color w:val="000000"/>
          <w:sz w:val="18"/>
          <w:szCs w:val="18"/>
          <w:lang w:eastAsia="x-none"/>
        </w:rPr>
        <w:br/>
        <w:t>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3B109D">
        <w:rPr>
          <w:rFonts w:ascii="IBM Plex Sans Light" w:hAnsi="IBM Plex Sans Light"/>
          <w:color w:val="000000"/>
          <w:sz w:val="18"/>
          <w:szCs w:val="18"/>
          <w:lang w:val="en-US" w:eastAsia="x-none"/>
        </w:rPr>
        <w:t xml:space="preserve"> </w:t>
      </w:r>
      <w:r w:rsidRPr="003B109D">
        <w:rPr>
          <w:rFonts w:ascii="IBM Plex Sans Light" w:hAnsi="IBM Plex Sans Light"/>
          <w:color w:val="000000"/>
          <w:sz w:val="18"/>
          <w:szCs w:val="18"/>
          <w:lang w:eastAsia="x-none"/>
        </w:rPr>
        <w:t>składa</w:t>
      </w:r>
      <w:r w:rsidRPr="003B109D">
        <w:rPr>
          <w:rFonts w:ascii="IBM Plex Sans Light" w:hAnsi="IBM Plex Sans Light"/>
          <w:color w:val="000000"/>
          <w:sz w:val="18"/>
          <w:szCs w:val="18"/>
          <w:lang w:val="en-US" w:eastAsia="x-none"/>
        </w:rPr>
        <w:t xml:space="preserve"> </w:t>
      </w:r>
      <w:r w:rsidRPr="003B109D">
        <w:rPr>
          <w:rFonts w:ascii="IBM Plex Sans Light" w:hAnsi="IBM Plex Sans Light"/>
          <w:color w:val="000000"/>
          <w:sz w:val="18"/>
          <w:szCs w:val="18"/>
          <w:lang w:eastAsia="x-none"/>
        </w:rPr>
        <w:t>się</w:t>
      </w:r>
      <w:r w:rsidRPr="003B109D">
        <w:rPr>
          <w:rFonts w:ascii="IBM Plex Sans Light" w:hAnsi="IBM Plex Sans Light"/>
          <w:color w:val="000000"/>
          <w:sz w:val="18"/>
          <w:szCs w:val="18"/>
          <w:lang w:val="en-US" w:eastAsia="x-none"/>
        </w:rPr>
        <w:t xml:space="preserve"> z:</w:t>
      </w:r>
    </w:p>
    <w:p w14:paraId="1926A4E4" w14:textId="77777777" w:rsidR="005D175A" w:rsidRPr="003B109D" w:rsidRDefault="005D175A" w:rsidP="00B571AF">
      <w:pPr>
        <w:widowControl w:val="0"/>
        <w:numPr>
          <w:ilvl w:val="0"/>
          <w:numId w:val="4"/>
        </w:numPr>
        <w:tabs>
          <w:tab w:val="left" w:pos="567"/>
          <w:tab w:val="left" w:pos="1134"/>
          <w:tab w:val="left" w:pos="1701"/>
          <w:tab w:val="left" w:pos="2268"/>
          <w:tab w:val="right" w:pos="8789"/>
        </w:tabs>
        <w:suppressAutoHyphens/>
        <w:ind w:hanging="436"/>
        <w:jc w:val="both"/>
        <w:rPr>
          <w:rFonts w:ascii="IBM Plex Sans Light" w:hAnsi="IBM Plex Sans Light"/>
          <w:color w:val="000000"/>
          <w:sz w:val="18"/>
          <w:szCs w:val="18"/>
          <w:lang w:val="en-US" w:eastAsia="x-none"/>
        </w:rPr>
      </w:pPr>
      <w:r w:rsidRPr="003B109D">
        <w:rPr>
          <w:rFonts w:ascii="IBM Plex Sans Light" w:hAnsi="IBM Plex Sans Light"/>
          <w:color w:val="000000"/>
          <w:sz w:val="18"/>
          <w:szCs w:val="18"/>
          <w:lang w:eastAsia="x-none"/>
        </w:rPr>
        <w:t>pracowników</w:t>
      </w:r>
      <w:r w:rsidRPr="003B109D">
        <w:rPr>
          <w:rFonts w:ascii="IBM Plex Sans Light" w:hAnsi="IBM Plex Sans Light"/>
          <w:color w:val="000000"/>
          <w:sz w:val="18"/>
          <w:szCs w:val="18"/>
          <w:lang w:val="en-US" w:eastAsia="x-none"/>
        </w:rPr>
        <w:t>;</w:t>
      </w:r>
    </w:p>
    <w:p w14:paraId="7A907DFD" w14:textId="77777777" w:rsidR="005D175A" w:rsidRPr="003B109D" w:rsidRDefault="005D175A" w:rsidP="00B571AF">
      <w:pPr>
        <w:widowControl w:val="0"/>
        <w:numPr>
          <w:ilvl w:val="0"/>
          <w:numId w:val="4"/>
        </w:numPr>
        <w:tabs>
          <w:tab w:val="num" w:pos="567"/>
          <w:tab w:val="left" w:pos="1134"/>
          <w:tab w:val="left" w:pos="1701"/>
          <w:tab w:val="left" w:pos="2268"/>
          <w:tab w:val="right" w:pos="8789"/>
        </w:tabs>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osób pracujących dla przedsiębiorstwa, podlegających mu i uważanych za pracowników na mocy przepisów prawa krajowego;</w:t>
      </w:r>
    </w:p>
    <w:p w14:paraId="143E57D6" w14:textId="77777777" w:rsidR="005D175A" w:rsidRPr="003B109D" w:rsidRDefault="005D175A" w:rsidP="00B571AF">
      <w:pPr>
        <w:widowControl w:val="0"/>
        <w:numPr>
          <w:ilvl w:val="0"/>
          <w:numId w:val="4"/>
        </w:numPr>
        <w:tabs>
          <w:tab w:val="left" w:pos="567"/>
          <w:tab w:val="left" w:pos="1134"/>
          <w:tab w:val="left" w:pos="1701"/>
          <w:tab w:val="left" w:pos="2268"/>
          <w:tab w:val="right" w:pos="8789"/>
        </w:tabs>
        <w:suppressAutoHyphens/>
        <w:ind w:hanging="436"/>
        <w:jc w:val="both"/>
        <w:rPr>
          <w:rFonts w:ascii="IBM Plex Sans Light" w:hAnsi="IBM Plex Sans Light"/>
          <w:color w:val="000000"/>
          <w:sz w:val="18"/>
          <w:szCs w:val="18"/>
          <w:lang w:val="en-US" w:eastAsia="x-none"/>
        </w:rPr>
      </w:pPr>
      <w:r w:rsidRPr="003B109D">
        <w:rPr>
          <w:rFonts w:ascii="IBM Plex Sans Light" w:hAnsi="IBM Plex Sans Light"/>
          <w:color w:val="000000"/>
          <w:sz w:val="18"/>
          <w:szCs w:val="18"/>
          <w:lang w:eastAsia="x-none"/>
        </w:rPr>
        <w:t>właścicieli</w:t>
      </w:r>
      <w:r w:rsidRPr="003B109D">
        <w:rPr>
          <w:rFonts w:ascii="IBM Plex Sans Light" w:hAnsi="IBM Plex Sans Light"/>
          <w:color w:val="000000"/>
          <w:sz w:val="18"/>
          <w:szCs w:val="18"/>
          <w:lang w:val="en-US" w:eastAsia="x-none"/>
        </w:rPr>
        <w:t xml:space="preserve"> – </w:t>
      </w:r>
      <w:r w:rsidRPr="003B109D">
        <w:rPr>
          <w:rFonts w:ascii="IBM Plex Sans Light" w:hAnsi="IBM Plex Sans Light"/>
          <w:color w:val="000000"/>
          <w:sz w:val="18"/>
          <w:szCs w:val="18"/>
          <w:lang w:eastAsia="x-none"/>
        </w:rPr>
        <w:t>kierowników</w:t>
      </w:r>
      <w:r w:rsidRPr="003B109D">
        <w:rPr>
          <w:rFonts w:ascii="IBM Plex Sans Light" w:hAnsi="IBM Plex Sans Light"/>
          <w:color w:val="000000"/>
          <w:sz w:val="18"/>
          <w:szCs w:val="18"/>
          <w:lang w:val="en-US" w:eastAsia="x-none"/>
        </w:rPr>
        <w:t>;</w:t>
      </w:r>
    </w:p>
    <w:p w14:paraId="36BC6936" w14:textId="77777777" w:rsidR="005D175A" w:rsidRPr="003B109D" w:rsidRDefault="005D175A" w:rsidP="00B571AF">
      <w:pPr>
        <w:widowControl w:val="0"/>
        <w:numPr>
          <w:ilvl w:val="0"/>
          <w:numId w:val="4"/>
        </w:numPr>
        <w:tabs>
          <w:tab w:val="num" w:pos="567"/>
          <w:tab w:val="left" w:pos="1134"/>
          <w:tab w:val="left" w:pos="1701"/>
          <w:tab w:val="left" w:pos="2268"/>
          <w:tab w:val="right" w:pos="8789"/>
        </w:tabs>
        <w:suppressAutoHyphens/>
        <w:ind w:left="567" w:hanging="283"/>
        <w:jc w:val="both"/>
        <w:rPr>
          <w:rFonts w:ascii="IBM Plex Sans Light" w:hAnsi="IBM Plex Sans Light"/>
          <w:color w:val="000000"/>
          <w:sz w:val="18"/>
          <w:szCs w:val="18"/>
          <w:lang w:eastAsia="x-none"/>
        </w:rPr>
      </w:pPr>
      <w:r w:rsidRPr="003B109D">
        <w:rPr>
          <w:rFonts w:ascii="IBM Plex Sans Light" w:hAnsi="IBM Plex Sans Light"/>
          <w:color w:val="000000"/>
          <w:sz w:val="18"/>
          <w:szCs w:val="18"/>
          <w:lang w:eastAsia="x-none"/>
        </w:rPr>
        <w:t>partnerów prowadzących regularną działalność w przedsiębiorstwie i czerpiących z niego korzyści finansowe.</w:t>
      </w:r>
    </w:p>
    <w:p w14:paraId="0E436173" w14:textId="751D067E" w:rsidR="005D175A" w:rsidRPr="003B109D" w:rsidRDefault="005D175A" w:rsidP="008B4038">
      <w:pPr>
        <w:pStyle w:val="Tekstprzypisukocowego"/>
        <w:spacing w:before="0" w:line="240" w:lineRule="auto"/>
        <w:rPr>
          <w:rFonts w:ascii="IBM Plex Sans Light" w:hAnsi="IBM Plex Sans Light"/>
          <w:sz w:val="18"/>
          <w:szCs w:val="18"/>
        </w:rPr>
      </w:pPr>
      <w:r w:rsidRPr="003B109D">
        <w:rPr>
          <w:rFonts w:ascii="IBM Plex Sans Light" w:hAnsi="IBM Plex Sans Light"/>
          <w:color w:val="000000"/>
          <w:sz w:val="18"/>
          <w:szCs w:val="18"/>
          <w:lang w:eastAsia="x-none"/>
        </w:rPr>
        <w:t>Praktykanci lub studenci odbywający szkolenie zawodowe na podstawie umowy o praktyce lub szkoleniu zawodowym nie wchodzą w skład personelu. Okres trwania urlopu macierzyńskiego lub wychowawczego nie jest wliczany</w:t>
      </w:r>
    </w:p>
  </w:endnote>
  <w:endnote w:id="7">
    <w:p w14:paraId="5CB2CF62" w14:textId="523AC035" w:rsidR="005D175A" w:rsidRPr="003B109D" w:rsidRDefault="005D175A" w:rsidP="008B4038">
      <w:pPr>
        <w:pStyle w:val="Tekstprzypisukocowego"/>
        <w:spacing w:before="0" w:line="240" w:lineRule="auto"/>
        <w:rPr>
          <w:rFonts w:ascii="IBM Plex Sans Light" w:hAnsi="IBM Plex Sans Light"/>
          <w:sz w:val="18"/>
          <w:szCs w:val="18"/>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t>
      </w:r>
      <w:r w:rsidRPr="003B109D">
        <w:rPr>
          <w:rFonts w:ascii="IBM Plex Sans Light" w:hAnsi="IBM Plex Sans Light"/>
          <w:sz w:val="18"/>
          <w:szCs w:val="18"/>
          <w:lang w:eastAsia="x-none"/>
        </w:rPr>
        <w:t xml:space="preserve">W rozumieniu przepisów Dyrektywy Parlamentu Europejskiego i Rady 2013/34/UE z dnia 26 czerwca 2013 r. </w:t>
      </w:r>
      <w:r w:rsidRPr="003B109D">
        <w:rPr>
          <w:rFonts w:ascii="IBM Plex Sans Light" w:hAnsi="IBM Plex Sans Light"/>
          <w:bCs/>
          <w:color w:val="000000"/>
          <w:sz w:val="18"/>
          <w:szCs w:val="18"/>
          <w:lang w:eastAsia="x-none"/>
        </w:rPr>
        <w:t>w sprawie rocznych sprawozdań finansowych, skonsolidowanych sprawozdań finansowych i powiązanych sprawozdań niektórych rodzajów jednostek, zmieniającą dyrektywę Parlamentu Europejskiego i Rady 2006/43/WE oraz uchylającą Dyrektywę Rady 78/660/EWG i 83/349/EWG (</w:t>
      </w:r>
      <w:r w:rsidR="00247251" w:rsidRPr="00247251">
        <w:rPr>
          <w:rFonts w:ascii="IBM Plex Sans Light" w:hAnsi="IBM Plex Sans Light"/>
          <w:bCs/>
          <w:color w:val="000000"/>
          <w:sz w:val="18"/>
          <w:szCs w:val="18"/>
          <w:lang w:eastAsia="x-none"/>
        </w:rPr>
        <w:t>Dz. U. UE. L. z 2013 r. Nr 182, str. 19 z późn. zm</w:t>
      </w:r>
      <w:r w:rsidR="00247251">
        <w:rPr>
          <w:rFonts w:ascii="IBM Plex Sans Light" w:hAnsi="IBM Plex Sans Light"/>
          <w:bCs/>
          <w:color w:val="000000"/>
          <w:sz w:val="18"/>
          <w:szCs w:val="18"/>
          <w:lang w:eastAsia="x-none"/>
        </w:rPr>
        <w:t>.</w:t>
      </w:r>
      <w:r w:rsidR="00247251" w:rsidRPr="00247251" w:rsidDel="00247251">
        <w:rPr>
          <w:rFonts w:ascii="IBM Plex Sans Light" w:hAnsi="IBM Plex Sans Light"/>
          <w:bCs/>
          <w:color w:val="000000"/>
          <w:sz w:val="18"/>
          <w:szCs w:val="18"/>
          <w:lang w:eastAsia="x-none"/>
        </w:rPr>
        <w:t xml:space="preserve"> </w:t>
      </w:r>
      <w:r w:rsidRPr="003B109D">
        <w:rPr>
          <w:rFonts w:ascii="IBM Plex Sans Light" w:hAnsi="IBM Plex Sans Light"/>
          <w:bCs/>
          <w:color w:val="000000"/>
          <w:sz w:val="18"/>
          <w:szCs w:val="18"/>
          <w:lang w:eastAsia="x-none"/>
        </w:rPr>
        <w:t>).</w:t>
      </w:r>
    </w:p>
  </w:endnote>
  <w:endnote w:id="8">
    <w:p w14:paraId="71234FA7" w14:textId="4789C141" w:rsidR="005D175A" w:rsidRPr="003B109D" w:rsidRDefault="005D175A">
      <w:pPr>
        <w:pStyle w:val="Tekstprzypisukocowego"/>
        <w:rPr>
          <w:rFonts w:ascii="IBM Plex Sans Light" w:hAnsi="IBM Plex Sans Light"/>
          <w:sz w:val="18"/>
          <w:szCs w:val="18"/>
        </w:rPr>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 tej kategorii mieścić się będą np. fundusze inwestycyjne, fundusze emerytalne.</w:t>
      </w:r>
    </w:p>
  </w:endnote>
  <w:endnote w:id="9">
    <w:p w14:paraId="01BD5F2E" w14:textId="2FF92B1F" w:rsidR="005D175A" w:rsidRDefault="005D175A" w:rsidP="00B23957">
      <w:pPr>
        <w:pStyle w:val="Tekstprzypisukocowego"/>
        <w:spacing w:line="240" w:lineRule="auto"/>
      </w:pPr>
      <w:r w:rsidRPr="003B109D">
        <w:rPr>
          <w:rStyle w:val="Odwoanieprzypisukocowego"/>
          <w:rFonts w:ascii="IBM Plex Sans Light" w:hAnsi="IBM Plex Sans Light"/>
          <w:sz w:val="18"/>
          <w:szCs w:val="18"/>
        </w:rPr>
        <w:endnoteRef/>
      </w:r>
      <w:r w:rsidRPr="003B109D">
        <w:rPr>
          <w:rFonts w:ascii="IBM Plex Sans Light" w:hAnsi="IBM Plex Sans Light"/>
          <w:sz w:val="18"/>
          <w:szCs w:val="18"/>
        </w:rPr>
        <w:t xml:space="preserve"> W rozumieniu art. 3 ust. 3 załącznika I do rozporządzenia Komisji (UE) Nr 651/2014 z dnia 17 czerwca 2014 r. uznającego niektóre rodzaje pomocy za zgodne z rynkiem wewnętrznym w zastosowaniu art. 107 i 108 Traktatu (ogólne rozporządzenie w sprawie wyłączeń blokowych) (</w:t>
      </w:r>
      <w:r w:rsidR="00A879F3" w:rsidRPr="00A879F3">
        <w:rPr>
          <w:rFonts w:ascii="IBM Plex Sans Light" w:hAnsi="IBM Plex Sans Light"/>
          <w:sz w:val="18"/>
          <w:szCs w:val="18"/>
        </w:rPr>
        <w:t>Dz. U. UE. L. z 2014 r. Nr 187, str. 1 z późn. zm</w:t>
      </w:r>
      <w:r w:rsidR="00A879F3">
        <w:rPr>
          <w:rFonts w:ascii="IBM Plex Sans Light" w:hAnsi="IBM Plex Sans Light"/>
          <w:sz w:val="18"/>
          <w:szCs w:val="18"/>
        </w:rPr>
        <w:t>.</w:t>
      </w:r>
      <w:r w:rsidRPr="003B109D">
        <w:rPr>
          <w:rFonts w:ascii="IBM Plex Sans Light" w:hAnsi="IBM Plex Sans Light"/>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BM Plex Sans">
    <w:altName w:val="Calibri"/>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IBM Plex Sans Light">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6C08" w14:textId="00650FF1" w:rsidR="00EB3109" w:rsidRPr="00457FEB" w:rsidRDefault="00AD64C7" w:rsidP="00457FEB">
    <w:pPr>
      <w:pStyle w:val="Stopka"/>
      <w:jc w:val="center"/>
      <w:rPr>
        <w:noProof/>
        <w:sz w:val="20"/>
        <w:szCs w:val="20"/>
      </w:rPr>
    </w:pPr>
    <w:r w:rsidRPr="0046244D">
      <w:rPr>
        <w:noProof/>
        <w:sz w:val="18"/>
        <w:szCs w:val="18"/>
      </w:rPr>
      <w:drawing>
        <wp:anchor distT="0" distB="0" distL="114300" distR="114300" simplePos="0" relativeHeight="251666432" behindDoc="1" locked="0" layoutInCell="1" allowOverlap="1" wp14:anchorId="299E30CC" wp14:editId="2EE358E3">
          <wp:simplePos x="0" y="0"/>
          <wp:positionH relativeFrom="column">
            <wp:posOffset>4262247</wp:posOffset>
          </wp:positionH>
          <wp:positionV relativeFrom="paragraph">
            <wp:posOffset>-1463040</wp:posOffset>
          </wp:positionV>
          <wp:extent cx="2540000" cy="1955800"/>
          <wp:effectExtent l="0" t="0" r="0" b="6350"/>
          <wp:wrapNone/>
          <wp:docPr id="1811635418" name="Obraz 3"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awierający tekst,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1955800"/>
                  </a:xfrm>
                  <a:prstGeom prst="rect">
                    <a:avLst/>
                  </a:prstGeom>
                  <a:noFill/>
                  <a:ln>
                    <a:noFill/>
                  </a:ln>
                </pic:spPr>
              </pic:pic>
            </a:graphicData>
          </a:graphic>
        </wp:anchor>
      </w:drawing>
    </w:r>
    <w:r w:rsidR="00EB3109" w:rsidRPr="00457FEB">
      <w:rPr>
        <w:noProof/>
        <w:sz w:val="20"/>
        <w:szCs w:val="20"/>
      </w:rPr>
      <w:fldChar w:fldCharType="begin"/>
    </w:r>
    <w:r w:rsidR="00EB3109" w:rsidRPr="00457FEB">
      <w:rPr>
        <w:noProof/>
        <w:sz w:val="20"/>
        <w:szCs w:val="20"/>
      </w:rPr>
      <w:instrText xml:space="preserve"> PAGE   \* MERGEFORMAT </w:instrText>
    </w:r>
    <w:r w:rsidR="00EB3109" w:rsidRPr="00457FEB">
      <w:rPr>
        <w:noProof/>
        <w:sz w:val="20"/>
        <w:szCs w:val="20"/>
      </w:rPr>
      <w:fldChar w:fldCharType="separate"/>
    </w:r>
    <w:r w:rsidR="00B00DF5">
      <w:rPr>
        <w:noProof/>
        <w:sz w:val="20"/>
        <w:szCs w:val="20"/>
      </w:rPr>
      <w:t>2</w:t>
    </w:r>
    <w:r w:rsidR="00EB3109" w:rsidRPr="00457FE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ECF9" w14:textId="03FF6064" w:rsidR="00567AC2" w:rsidRPr="0046244D" w:rsidRDefault="00567AC2">
    <w:pPr>
      <w:pStyle w:val="Stopka"/>
      <w:jc w:val="right"/>
      <w:rPr>
        <w:sz w:val="18"/>
        <w:szCs w:val="18"/>
      </w:rPr>
    </w:pPr>
    <w:r>
      <w:rPr>
        <w:noProof/>
      </w:rPr>
      <mc:AlternateContent>
        <mc:Choice Requires="wps">
          <w:drawing>
            <wp:anchor distT="45720" distB="45720" distL="114300" distR="114300" simplePos="0" relativeHeight="251660288" behindDoc="0" locked="0" layoutInCell="1" allowOverlap="1" wp14:anchorId="77217DF8" wp14:editId="13678665">
              <wp:simplePos x="0" y="0"/>
              <wp:positionH relativeFrom="column">
                <wp:posOffset>-99604</wp:posOffset>
              </wp:positionH>
              <wp:positionV relativeFrom="paragraph">
                <wp:posOffset>-108494</wp:posOffset>
              </wp:positionV>
              <wp:extent cx="6217466" cy="660400"/>
              <wp:effectExtent l="0" t="0" r="0" b="635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466" cy="660400"/>
                      </a:xfrm>
                      <a:prstGeom prst="rect">
                        <a:avLst/>
                      </a:prstGeom>
                      <a:noFill/>
                      <a:ln w="9525">
                        <a:noFill/>
                        <a:miter lim="800000"/>
                        <a:headEnd/>
                        <a:tailEnd/>
                      </a:ln>
                    </wps:spPr>
                    <wps:txbx>
                      <w:txbxContent>
                        <w:p w14:paraId="3541DF95" w14:textId="77777777" w:rsidR="00567AC2" w:rsidRPr="00870E78" w:rsidRDefault="00567AC2" w:rsidP="00567AC2">
                          <w:pPr>
                            <w:jc w:val="center"/>
                            <w:rPr>
                              <w:rFonts w:ascii="IBM Plex Sans" w:hAnsi="IBM Plex Sans"/>
                              <w:sz w:val="16"/>
                              <w:szCs w:val="16"/>
                            </w:rPr>
                          </w:pPr>
                          <w:r w:rsidRPr="00870E78">
                            <w:rPr>
                              <w:rFonts w:ascii="IBM Plex Sans" w:hAnsi="IBM Plex Sans"/>
                              <w:sz w:val="16"/>
                              <w:szCs w:val="16"/>
                            </w:rPr>
                            <w:t xml:space="preserve">Akces NCBR spółka z ograniczoną odpowiedzialnością z siedzibą w Warszawie (00-801) przy ul. Chmielnej 69, </w:t>
                          </w:r>
                          <w:r>
                            <w:rPr>
                              <w:rFonts w:ascii="IBM Plex Sans" w:hAnsi="IBM Plex Sans"/>
                              <w:sz w:val="16"/>
                              <w:szCs w:val="16"/>
                            </w:rPr>
                            <w:br/>
                          </w:r>
                          <w:r w:rsidRPr="00870E78">
                            <w:rPr>
                              <w:rFonts w:ascii="IBM Plex Sans" w:hAnsi="IBM Plex Sans"/>
                              <w:sz w:val="16"/>
                              <w:szCs w:val="16"/>
                            </w:rPr>
                            <w:t>wpisaną do Rejestru Przedsiębiorców KRS, prowadzonego przez Sąd Rejonowy dla m.st. Warszawy  w Warszawie, </w:t>
                          </w:r>
                          <w:r>
                            <w:rPr>
                              <w:rFonts w:ascii="IBM Plex Sans" w:hAnsi="IBM Plex Sans"/>
                              <w:sz w:val="16"/>
                              <w:szCs w:val="16"/>
                            </w:rPr>
                            <w:br/>
                          </w:r>
                          <w:r w:rsidRPr="00870E78">
                            <w:rPr>
                              <w:rFonts w:ascii="IBM Plex Sans" w:hAnsi="IBM Plex Sans"/>
                              <w:sz w:val="16"/>
                              <w:szCs w:val="16"/>
                            </w:rPr>
                            <w:t>Wydział XIII Gospodarczy Krajowego Rejestru Sądowego pod numerem KRS: 0000959172, NIP:7011078794, REGON: 521485907, kapitał zakładowy: 8 974 000,00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17DF8" id="_x0000_t202" coordsize="21600,21600" o:spt="202" path="m,l,21600r21600,l21600,xe">
              <v:stroke joinstyle="miter"/>
              <v:path gradientshapeok="t" o:connecttype="rect"/>
            </v:shapetype>
            <v:shape id="_x0000_s1045" type="#_x0000_t202" style="position:absolute;left:0;text-align:left;margin-left:-7.85pt;margin-top:-8.55pt;width:489.55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" filled="f" stroked="f">
              <v:textbox>
                <w:txbxContent>
                  <w:p w14:paraId="3541DF95" w14:textId="77777777" w:rsidR="00567AC2" w:rsidRPr="00870E78" w:rsidRDefault="00567AC2" w:rsidP="00567AC2">
                    <w:pPr>
                      <w:jc w:val="center"/>
                      <w:rPr>
                        <w:rFonts w:ascii="IBM Plex Sans" w:hAnsi="IBM Plex Sans"/>
                        <w:sz w:val="16"/>
                        <w:szCs w:val="16"/>
                      </w:rPr>
                    </w:pPr>
                    <w:r w:rsidRPr="00870E78">
                      <w:rPr>
                        <w:rFonts w:ascii="IBM Plex Sans" w:hAnsi="IBM Plex Sans"/>
                        <w:sz w:val="16"/>
                        <w:szCs w:val="16"/>
                      </w:rPr>
                      <w:t xml:space="preserve">Akces NCBR spółka z ograniczoną odpowiedzialnością z siedzibą w Warszawie (00-801) przy ul. Chmielnej 69, </w:t>
                    </w:r>
                    <w:r>
                      <w:rPr>
                        <w:rFonts w:ascii="IBM Plex Sans" w:hAnsi="IBM Plex Sans"/>
                        <w:sz w:val="16"/>
                        <w:szCs w:val="16"/>
                      </w:rPr>
                      <w:br/>
                    </w:r>
                    <w:r w:rsidRPr="00870E78">
                      <w:rPr>
                        <w:rFonts w:ascii="IBM Plex Sans" w:hAnsi="IBM Plex Sans"/>
                        <w:sz w:val="16"/>
                        <w:szCs w:val="16"/>
                      </w:rPr>
                      <w:t>wpisaną do Rejestru Przedsiębiorców KRS, prowadzonego przez Sąd Rejonowy dla m.st. Warszawy  w Warszawie, </w:t>
                    </w:r>
                    <w:r>
                      <w:rPr>
                        <w:rFonts w:ascii="IBM Plex Sans" w:hAnsi="IBM Plex Sans"/>
                        <w:sz w:val="16"/>
                        <w:szCs w:val="16"/>
                      </w:rPr>
                      <w:br/>
                    </w:r>
                    <w:r w:rsidRPr="00870E78">
                      <w:rPr>
                        <w:rFonts w:ascii="IBM Plex Sans" w:hAnsi="IBM Plex Sans"/>
                        <w:sz w:val="16"/>
                        <w:szCs w:val="16"/>
                      </w:rPr>
                      <w:t>Wydział XIII Gospodarczy Krajowego Rejestru Sądowego pod numerem KRS: 0000959172, NIP:7011078794, REGON: 521485907, kapitał zakładowy: 8 974 000,00 zł.</w:t>
                    </w:r>
                  </w:p>
                </w:txbxContent>
              </v:textbox>
            </v:shape>
          </w:pict>
        </mc:Fallback>
      </mc:AlternateContent>
    </w:r>
    <w:sdt>
      <w:sdtPr>
        <w:rPr>
          <w:sz w:val="18"/>
          <w:szCs w:val="18"/>
        </w:rPr>
        <w:id w:val="-1150662682"/>
        <w:docPartObj>
          <w:docPartGallery w:val="Page Numbers (Bottom of Page)"/>
          <w:docPartUnique/>
        </w:docPartObj>
      </w:sdtPr>
      <w:sdtEndPr/>
      <w:sdtContent>
        <w:r w:rsidRPr="0046244D">
          <w:rPr>
            <w:noProof/>
            <w:sz w:val="18"/>
            <w:szCs w:val="18"/>
          </w:rPr>
          <w:drawing>
            <wp:anchor distT="0" distB="0" distL="114300" distR="114300" simplePos="0" relativeHeight="251658240" behindDoc="1" locked="0" layoutInCell="1" allowOverlap="1" wp14:anchorId="03B071B6" wp14:editId="4919A6CA">
              <wp:simplePos x="0" y="0"/>
              <wp:positionH relativeFrom="column">
                <wp:posOffset>4283710</wp:posOffset>
              </wp:positionH>
              <wp:positionV relativeFrom="paragraph">
                <wp:posOffset>-1376680</wp:posOffset>
              </wp:positionV>
              <wp:extent cx="2540000" cy="1955800"/>
              <wp:effectExtent l="0" t="0" r="0" b="6350"/>
              <wp:wrapNone/>
              <wp:docPr id="1017120924" name="Obraz 3"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awierający tekst,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1955800"/>
                      </a:xfrm>
                      <a:prstGeom prst="rect">
                        <a:avLst/>
                      </a:prstGeom>
                      <a:noFill/>
                      <a:ln>
                        <a:noFill/>
                      </a:ln>
                    </pic:spPr>
                  </pic:pic>
                </a:graphicData>
              </a:graphic>
            </wp:anchor>
          </w:drawing>
        </w:r>
        <w:r w:rsidRPr="0046244D">
          <w:rPr>
            <w:sz w:val="18"/>
            <w:szCs w:val="18"/>
          </w:rPr>
          <w:fldChar w:fldCharType="begin"/>
        </w:r>
        <w:r w:rsidRPr="0046244D">
          <w:rPr>
            <w:sz w:val="18"/>
            <w:szCs w:val="18"/>
          </w:rPr>
          <w:instrText>PAGE   \* MERGEFORMAT</w:instrText>
        </w:r>
        <w:r w:rsidRPr="0046244D">
          <w:rPr>
            <w:sz w:val="18"/>
            <w:szCs w:val="18"/>
          </w:rPr>
          <w:fldChar w:fldCharType="separate"/>
        </w:r>
        <w:r w:rsidRPr="0046244D">
          <w:rPr>
            <w:sz w:val="18"/>
            <w:szCs w:val="18"/>
          </w:rPr>
          <w:t>2</w:t>
        </w:r>
        <w:r w:rsidRPr="0046244D">
          <w:rPr>
            <w:sz w:val="18"/>
            <w:szCs w:val="18"/>
          </w:rPr>
          <w:fldChar w:fldCharType="end"/>
        </w:r>
      </w:sdtContent>
    </w:sdt>
  </w:p>
  <w:p w14:paraId="238D60E3" w14:textId="442C2D8D" w:rsidR="00567AC2" w:rsidRDefault="00567A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29F9" w14:textId="77777777" w:rsidR="00E749EF" w:rsidRDefault="00E749EF">
      <w:r>
        <w:separator/>
      </w:r>
    </w:p>
  </w:footnote>
  <w:footnote w:type="continuationSeparator" w:id="0">
    <w:p w14:paraId="63E07147" w14:textId="77777777" w:rsidR="00E749EF" w:rsidRDefault="00E7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DC8B" w14:textId="6DDC6179" w:rsidR="00AD64C7" w:rsidRDefault="00AD64C7">
    <w:pPr>
      <w:pStyle w:val="Nagwek"/>
    </w:pPr>
    <w:r>
      <w:rPr>
        <w:noProof/>
      </w:rPr>
      <w:drawing>
        <wp:anchor distT="0" distB="0" distL="114300" distR="114300" simplePos="0" relativeHeight="251664384" behindDoc="0" locked="0" layoutInCell="1" allowOverlap="1" wp14:anchorId="37E98092" wp14:editId="6EFB2EB0">
          <wp:simplePos x="0" y="0"/>
          <wp:positionH relativeFrom="column">
            <wp:posOffset>-719328</wp:posOffset>
          </wp:positionH>
          <wp:positionV relativeFrom="page">
            <wp:posOffset>67437</wp:posOffset>
          </wp:positionV>
          <wp:extent cx="7521575" cy="761954"/>
          <wp:effectExtent l="0" t="0" r="3175" b="635"/>
          <wp:wrapNone/>
          <wp:docPr id="1505461401" name="Obraz 1"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7619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4018" w14:textId="1EE1EBA5" w:rsidR="00567AC2" w:rsidRDefault="00C35BB7">
    <w:pPr>
      <w:pStyle w:val="Nagwek"/>
    </w:pPr>
    <w:r>
      <w:rPr>
        <w:noProof/>
      </w:rPr>
      <mc:AlternateContent>
        <mc:Choice Requires="wps">
          <w:drawing>
            <wp:anchor distT="45720" distB="45720" distL="114300" distR="114300" simplePos="0" relativeHeight="251662336" behindDoc="0" locked="0" layoutInCell="1" allowOverlap="1" wp14:anchorId="4D8A8778" wp14:editId="5F661DDF">
              <wp:simplePos x="0" y="0"/>
              <wp:positionH relativeFrom="column">
                <wp:posOffset>1791462</wp:posOffset>
              </wp:positionH>
              <wp:positionV relativeFrom="page">
                <wp:posOffset>121920</wp:posOffset>
              </wp:positionV>
              <wp:extent cx="4243959" cy="487680"/>
              <wp:effectExtent l="0" t="0" r="0" b="0"/>
              <wp:wrapNone/>
              <wp:docPr id="197341960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959" cy="487680"/>
                      </a:xfrm>
                      <a:prstGeom prst="rect">
                        <a:avLst/>
                      </a:prstGeom>
                      <a:noFill/>
                      <a:ln w="9525">
                        <a:noFill/>
                        <a:miter lim="800000"/>
                        <a:headEnd/>
                        <a:tailEnd/>
                      </a:ln>
                    </wps:spPr>
                    <wps:txbx>
                      <w:txbxContent>
                        <w:p w14:paraId="192F0B2F" w14:textId="4C1606B4" w:rsidR="00C35BB7" w:rsidRPr="00C35BB7" w:rsidRDefault="00C35BB7" w:rsidP="0083289D">
                          <w:pPr>
                            <w:jc w:val="right"/>
                            <w:rPr>
                              <w:rFonts w:ascii="IBM Plex Sans" w:hAnsi="IBM Plex Sans"/>
                              <w:sz w:val="20"/>
                              <w:szCs w:val="20"/>
                              <w14:textOutline w14:w="9525" w14:cap="rnd" w14:cmpd="sng" w14:algn="ctr">
                                <w14:noFill/>
                                <w14:prstDash w14:val="solid"/>
                                <w14:bevel/>
                              </w14:textOutline>
                            </w:rPr>
                          </w:pPr>
                          <w:r w:rsidRPr="00C35BB7">
                            <w:rPr>
                              <w:rFonts w:ascii="IBM Plex Sans" w:hAnsi="IBM Plex Sans"/>
                              <w:sz w:val="20"/>
                              <w:szCs w:val="20"/>
                              <w14:textOutline w14:w="9525" w14:cap="rnd" w14:cmpd="sng" w14:algn="ctr">
                                <w14:noFill/>
                                <w14:prstDash w14:val="solid"/>
                                <w14:bevel/>
                              </w14:textOutline>
                            </w:rPr>
                            <w:t>Załąc</w:t>
                          </w:r>
                          <w:r>
                            <w:rPr>
                              <w:rFonts w:ascii="IBM Plex Sans" w:hAnsi="IBM Plex Sans"/>
                              <w:sz w:val="20"/>
                              <w:szCs w:val="20"/>
                              <w14:textOutline w14:w="9525" w14:cap="rnd" w14:cmpd="sng" w14:algn="ctr">
                                <w14:noFill/>
                                <w14:prstDash w14:val="solid"/>
                                <w14:bevel/>
                              </w14:textOutline>
                            </w:rPr>
                            <w:t xml:space="preserve">znik nr </w:t>
                          </w:r>
                          <w:r w:rsidR="0083289D">
                            <w:rPr>
                              <w:rFonts w:ascii="IBM Plex Sans" w:hAnsi="IBM Plex Sans"/>
                              <w:sz w:val="20"/>
                              <w:szCs w:val="20"/>
                              <w14:textOutline w14:w="9525" w14:cap="rnd" w14:cmpd="sng" w14:algn="ctr">
                                <w14:noFill/>
                                <w14:prstDash w14:val="solid"/>
                                <w14:bevel/>
                              </w14:textOutline>
                            </w:rPr>
                            <w:t xml:space="preserve">5 do Regulaminu </w:t>
                          </w:r>
                          <w:r w:rsidR="0083289D" w:rsidRPr="0083289D">
                            <w:rPr>
                              <w:rFonts w:ascii="IBM Plex Sans" w:hAnsi="IBM Plex Sans"/>
                              <w:sz w:val="20"/>
                              <w:szCs w:val="20"/>
                              <w14:textOutline w14:w="9525" w14:cap="rnd" w14:cmpd="sng" w14:algn="ctr">
                                <w14:noFill/>
                                <w14:prstDash w14:val="solid"/>
                                <w14:bevel/>
                              </w14:textOutline>
                            </w:rPr>
                            <w:t>Horyzontalnego Programu Naukowego Akces NCBR sp. z 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A8778" id="_x0000_t202" coordsize="21600,21600" o:spt="202" path="m,l,21600r21600,l21600,xe">
              <v:stroke joinstyle="miter"/>
              <v:path gradientshapeok="t" o:connecttype="rect"/>
            </v:shapetype>
            <v:shape id="Pole tekstowe 2" o:spid="_x0000_s1044" type="#_x0000_t202" style="position:absolute;margin-left:141.05pt;margin-top:9.6pt;width:334.15pt;height:3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" filled="f" stroked="f">
              <v:textbox>
                <w:txbxContent>
                  <w:p w14:paraId="192F0B2F" w14:textId="4C1606B4" w:rsidR="00C35BB7" w:rsidRPr="00C35BB7" w:rsidRDefault="00C35BB7" w:rsidP="0083289D">
                    <w:pPr>
                      <w:jc w:val="right"/>
                      <w:rPr>
                        <w:rFonts w:ascii="IBM Plex Sans" w:hAnsi="IBM Plex Sans"/>
                        <w:sz w:val="20"/>
                        <w:szCs w:val="20"/>
                        <w14:textOutline w14:w="9525" w14:cap="rnd" w14:cmpd="sng" w14:algn="ctr">
                          <w14:noFill/>
                          <w14:prstDash w14:val="solid"/>
                          <w14:bevel/>
                        </w14:textOutline>
                      </w:rPr>
                    </w:pPr>
                    <w:r w:rsidRPr="00C35BB7">
                      <w:rPr>
                        <w:rFonts w:ascii="IBM Plex Sans" w:hAnsi="IBM Plex Sans"/>
                        <w:sz w:val="20"/>
                        <w:szCs w:val="20"/>
                        <w14:textOutline w14:w="9525" w14:cap="rnd" w14:cmpd="sng" w14:algn="ctr">
                          <w14:noFill/>
                          <w14:prstDash w14:val="solid"/>
                          <w14:bevel/>
                        </w14:textOutline>
                      </w:rPr>
                      <w:t>Załąc</w:t>
                    </w:r>
                    <w:r>
                      <w:rPr>
                        <w:rFonts w:ascii="IBM Plex Sans" w:hAnsi="IBM Plex Sans"/>
                        <w:sz w:val="20"/>
                        <w:szCs w:val="20"/>
                        <w14:textOutline w14:w="9525" w14:cap="rnd" w14:cmpd="sng" w14:algn="ctr">
                          <w14:noFill/>
                          <w14:prstDash w14:val="solid"/>
                          <w14:bevel/>
                        </w14:textOutline>
                      </w:rPr>
                      <w:t xml:space="preserve">znik nr </w:t>
                    </w:r>
                    <w:r w:rsidR="0083289D">
                      <w:rPr>
                        <w:rFonts w:ascii="IBM Plex Sans" w:hAnsi="IBM Plex Sans"/>
                        <w:sz w:val="20"/>
                        <w:szCs w:val="20"/>
                        <w14:textOutline w14:w="9525" w14:cap="rnd" w14:cmpd="sng" w14:algn="ctr">
                          <w14:noFill/>
                          <w14:prstDash w14:val="solid"/>
                          <w14:bevel/>
                        </w14:textOutline>
                      </w:rPr>
                      <w:t xml:space="preserve">5 do Regulaminu </w:t>
                    </w:r>
                    <w:r w:rsidR="0083289D" w:rsidRPr="0083289D">
                      <w:rPr>
                        <w:rFonts w:ascii="IBM Plex Sans" w:hAnsi="IBM Plex Sans"/>
                        <w:sz w:val="20"/>
                        <w:szCs w:val="20"/>
                        <w14:textOutline w14:w="9525" w14:cap="rnd" w14:cmpd="sng" w14:algn="ctr">
                          <w14:noFill/>
                          <w14:prstDash w14:val="solid"/>
                          <w14:bevel/>
                        </w14:textOutline>
                      </w:rPr>
                      <w:t>Horyzontalnego Programu Naukowego Akces NCBR sp. z o.o.</w:t>
                    </w:r>
                  </w:p>
                </w:txbxContent>
              </v:textbox>
              <w10:wrap anchory="page"/>
            </v:shape>
          </w:pict>
        </mc:Fallback>
      </mc:AlternateContent>
    </w:r>
    <w:r>
      <w:rPr>
        <w:noProof/>
      </w:rPr>
      <w:drawing>
        <wp:anchor distT="0" distB="0" distL="114300" distR="114300" simplePos="0" relativeHeight="251657215" behindDoc="0" locked="0" layoutInCell="1" allowOverlap="1" wp14:anchorId="7328E58B" wp14:editId="57778E2A">
          <wp:simplePos x="0" y="0"/>
          <wp:positionH relativeFrom="column">
            <wp:posOffset>-701041</wp:posOffset>
          </wp:positionH>
          <wp:positionV relativeFrom="page">
            <wp:posOffset>57150</wp:posOffset>
          </wp:positionV>
          <wp:extent cx="7521575" cy="761954"/>
          <wp:effectExtent l="0" t="0" r="3175" b="635"/>
          <wp:wrapNone/>
          <wp:docPr id="1882549791" name="Obraz 1"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78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975AD920"/>
    <w:name w:val="WW8Num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15:restartNumberingAfterBreak="0">
    <w:nsid w:val="00000004"/>
    <w:multiLevelType w:val="multilevel"/>
    <w:tmpl w:val="00000004"/>
    <w:name w:val="WW8Num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1A197500"/>
    <w:multiLevelType w:val="hybridMultilevel"/>
    <w:tmpl w:val="D6061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94E01AF"/>
    <w:multiLevelType w:val="multilevel"/>
    <w:tmpl w:val="975AD920"/>
    <w:name w:val="WW8Num3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57C36"/>
    <w:multiLevelType w:val="hybridMultilevel"/>
    <w:tmpl w:val="F468FDC6"/>
    <w:lvl w:ilvl="0" w:tplc="39503CF6">
      <w:start w:val="1"/>
      <w:numFmt w:val="decimal"/>
      <w:pStyle w:val="Nagwek1"/>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EC52D9"/>
    <w:multiLevelType w:val="hybridMultilevel"/>
    <w:tmpl w:val="31A4F060"/>
    <w:lvl w:ilvl="0" w:tplc="30F24012">
      <w:start w:val="1"/>
      <w:numFmt w:val="decimal"/>
      <w:lvlText w:val="%1)"/>
      <w:lvlJc w:val="left"/>
      <w:pPr>
        <w:tabs>
          <w:tab w:val="num" w:pos="720"/>
        </w:tabs>
        <w:ind w:left="720" w:hanging="360"/>
      </w:pPr>
      <w:rPr>
        <w:rFonts w:ascii="IBM Plex Sans" w:eastAsia="Times New Roman" w:hAnsi="IBM Plex San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67EF0F13"/>
    <w:multiLevelType w:val="hybridMultilevel"/>
    <w:tmpl w:val="73B4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5CC6F45"/>
    <w:multiLevelType w:val="hybridMultilevel"/>
    <w:tmpl w:val="14FEC226"/>
    <w:lvl w:ilvl="0" w:tplc="DF904894">
      <w:start w:val="1"/>
      <w:numFmt w:val="bullet"/>
      <w:lvlText w:val="-"/>
      <w:lvlJc w:val="left"/>
      <w:pPr>
        <w:ind w:left="360" w:hanging="360"/>
      </w:pPr>
      <w:rPr>
        <w:rFonts w:ascii="Aptos" w:hAnsi="Apto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69573944">
    <w:abstractNumId w:val="9"/>
  </w:num>
  <w:num w:numId="2" w16cid:durableId="446852457">
    <w:abstractNumId w:val="8"/>
  </w:num>
  <w:num w:numId="3" w16cid:durableId="758209768">
    <w:abstractNumId w:val="4"/>
  </w:num>
  <w:num w:numId="4" w16cid:durableId="2127457925">
    <w:abstractNumId w:val="5"/>
  </w:num>
  <w:num w:numId="5" w16cid:durableId="1448549386">
    <w:abstractNumId w:val="10"/>
  </w:num>
  <w:num w:numId="6" w16cid:durableId="231045662">
    <w:abstractNumId w:val="7"/>
  </w:num>
  <w:num w:numId="7" w16cid:durableId="793794915">
    <w:abstractNumId w:val="12"/>
  </w:num>
  <w:num w:numId="8" w16cid:durableId="86465273">
    <w:abstractNumId w:val="11"/>
  </w:num>
  <w:num w:numId="9" w16cid:durableId="9070606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94"/>
    <w:rsid w:val="00000C89"/>
    <w:rsid w:val="00002195"/>
    <w:rsid w:val="0000422C"/>
    <w:rsid w:val="000049B8"/>
    <w:rsid w:val="00004FA4"/>
    <w:rsid w:val="00010404"/>
    <w:rsid w:val="000134E7"/>
    <w:rsid w:val="000146A9"/>
    <w:rsid w:val="00020A79"/>
    <w:rsid w:val="000261A8"/>
    <w:rsid w:val="00027BEE"/>
    <w:rsid w:val="000370C1"/>
    <w:rsid w:val="00041594"/>
    <w:rsid w:val="000418D4"/>
    <w:rsid w:val="000429EA"/>
    <w:rsid w:val="00042FFA"/>
    <w:rsid w:val="0004505C"/>
    <w:rsid w:val="000453AA"/>
    <w:rsid w:val="000478FC"/>
    <w:rsid w:val="00051E4A"/>
    <w:rsid w:val="000521D0"/>
    <w:rsid w:val="00052EA1"/>
    <w:rsid w:val="0006001F"/>
    <w:rsid w:val="0006084A"/>
    <w:rsid w:val="00064587"/>
    <w:rsid w:val="00070743"/>
    <w:rsid w:val="0007255C"/>
    <w:rsid w:val="00074012"/>
    <w:rsid w:val="00075B0F"/>
    <w:rsid w:val="00075EC3"/>
    <w:rsid w:val="00077105"/>
    <w:rsid w:val="000826F3"/>
    <w:rsid w:val="000864EF"/>
    <w:rsid w:val="000922CB"/>
    <w:rsid w:val="000922E0"/>
    <w:rsid w:val="00095F76"/>
    <w:rsid w:val="00097D5E"/>
    <w:rsid w:val="000A21A0"/>
    <w:rsid w:val="000A5CBE"/>
    <w:rsid w:val="000B129E"/>
    <w:rsid w:val="000B303B"/>
    <w:rsid w:val="000B4DA2"/>
    <w:rsid w:val="000C0AD2"/>
    <w:rsid w:val="000C0B9B"/>
    <w:rsid w:val="000C6216"/>
    <w:rsid w:val="000C7305"/>
    <w:rsid w:val="000D04E9"/>
    <w:rsid w:val="000D269C"/>
    <w:rsid w:val="000D6294"/>
    <w:rsid w:val="000E1D70"/>
    <w:rsid w:val="000E32C7"/>
    <w:rsid w:val="000E36D2"/>
    <w:rsid w:val="000E6B88"/>
    <w:rsid w:val="000F346E"/>
    <w:rsid w:val="000F4403"/>
    <w:rsid w:val="000F7B19"/>
    <w:rsid w:val="001015C5"/>
    <w:rsid w:val="001018C6"/>
    <w:rsid w:val="00102B6A"/>
    <w:rsid w:val="00103A58"/>
    <w:rsid w:val="0010554A"/>
    <w:rsid w:val="001079CE"/>
    <w:rsid w:val="001143E6"/>
    <w:rsid w:val="00115191"/>
    <w:rsid w:val="001163CF"/>
    <w:rsid w:val="00117E44"/>
    <w:rsid w:val="00120FF6"/>
    <w:rsid w:val="0013098E"/>
    <w:rsid w:val="00135B54"/>
    <w:rsid w:val="00135D9E"/>
    <w:rsid w:val="0013696D"/>
    <w:rsid w:val="00136C66"/>
    <w:rsid w:val="00140277"/>
    <w:rsid w:val="00142A5D"/>
    <w:rsid w:val="001448D4"/>
    <w:rsid w:val="00146143"/>
    <w:rsid w:val="00167228"/>
    <w:rsid w:val="0016775F"/>
    <w:rsid w:val="0018479B"/>
    <w:rsid w:val="001855E7"/>
    <w:rsid w:val="00185C8D"/>
    <w:rsid w:val="001879F1"/>
    <w:rsid w:val="00190F8B"/>
    <w:rsid w:val="00191D4C"/>
    <w:rsid w:val="001941A7"/>
    <w:rsid w:val="001A1914"/>
    <w:rsid w:val="001A4773"/>
    <w:rsid w:val="001B11F8"/>
    <w:rsid w:val="001B7AE3"/>
    <w:rsid w:val="001C7FF4"/>
    <w:rsid w:val="001D1BE0"/>
    <w:rsid w:val="001D4921"/>
    <w:rsid w:val="001D4AF7"/>
    <w:rsid w:val="001D5E62"/>
    <w:rsid w:val="001E2B02"/>
    <w:rsid w:val="001E40CA"/>
    <w:rsid w:val="001E59F7"/>
    <w:rsid w:val="001E5CB1"/>
    <w:rsid w:val="001E642C"/>
    <w:rsid w:val="001F34A5"/>
    <w:rsid w:val="0020168D"/>
    <w:rsid w:val="00203ECA"/>
    <w:rsid w:val="00207529"/>
    <w:rsid w:val="002113E1"/>
    <w:rsid w:val="002130BD"/>
    <w:rsid w:val="00213E40"/>
    <w:rsid w:val="00216D3E"/>
    <w:rsid w:val="0021722A"/>
    <w:rsid w:val="00220625"/>
    <w:rsid w:val="00222163"/>
    <w:rsid w:val="0022493C"/>
    <w:rsid w:val="002258E2"/>
    <w:rsid w:val="002264F7"/>
    <w:rsid w:val="00230033"/>
    <w:rsid w:val="00242A5B"/>
    <w:rsid w:val="00242AD1"/>
    <w:rsid w:val="00247251"/>
    <w:rsid w:val="00250295"/>
    <w:rsid w:val="00253976"/>
    <w:rsid w:val="00253EFB"/>
    <w:rsid w:val="00254279"/>
    <w:rsid w:val="00260A33"/>
    <w:rsid w:val="00261CE0"/>
    <w:rsid w:val="00262AA3"/>
    <w:rsid w:val="00267E99"/>
    <w:rsid w:val="0027328C"/>
    <w:rsid w:val="00273702"/>
    <w:rsid w:val="002848DD"/>
    <w:rsid w:val="002908DE"/>
    <w:rsid w:val="0029615C"/>
    <w:rsid w:val="0029627B"/>
    <w:rsid w:val="002A136E"/>
    <w:rsid w:val="002A26C6"/>
    <w:rsid w:val="002A3BA8"/>
    <w:rsid w:val="002A51BE"/>
    <w:rsid w:val="002A5ABA"/>
    <w:rsid w:val="002B2B86"/>
    <w:rsid w:val="002B7273"/>
    <w:rsid w:val="002B7806"/>
    <w:rsid w:val="002C5721"/>
    <w:rsid w:val="002C5B87"/>
    <w:rsid w:val="002C7289"/>
    <w:rsid w:val="002C78F2"/>
    <w:rsid w:val="002D149B"/>
    <w:rsid w:val="002D3EDF"/>
    <w:rsid w:val="002D5B78"/>
    <w:rsid w:val="002F0428"/>
    <w:rsid w:val="002F0BAA"/>
    <w:rsid w:val="002F3D94"/>
    <w:rsid w:val="002F7D27"/>
    <w:rsid w:val="003002F1"/>
    <w:rsid w:val="00303C36"/>
    <w:rsid w:val="00311B78"/>
    <w:rsid w:val="003138FE"/>
    <w:rsid w:val="00315C76"/>
    <w:rsid w:val="0031713E"/>
    <w:rsid w:val="00323959"/>
    <w:rsid w:val="00326AA3"/>
    <w:rsid w:val="003305A2"/>
    <w:rsid w:val="00341584"/>
    <w:rsid w:val="00347A59"/>
    <w:rsid w:val="003507A2"/>
    <w:rsid w:val="00350E88"/>
    <w:rsid w:val="003517C2"/>
    <w:rsid w:val="00351A33"/>
    <w:rsid w:val="00352ADE"/>
    <w:rsid w:val="0035303B"/>
    <w:rsid w:val="00356A77"/>
    <w:rsid w:val="0036180F"/>
    <w:rsid w:val="00362F29"/>
    <w:rsid w:val="003666FD"/>
    <w:rsid w:val="003704BD"/>
    <w:rsid w:val="00371FD4"/>
    <w:rsid w:val="00372CDC"/>
    <w:rsid w:val="003768A2"/>
    <w:rsid w:val="00380DFC"/>
    <w:rsid w:val="00383200"/>
    <w:rsid w:val="00385A87"/>
    <w:rsid w:val="00396BE7"/>
    <w:rsid w:val="003A2BC5"/>
    <w:rsid w:val="003A4089"/>
    <w:rsid w:val="003A60F7"/>
    <w:rsid w:val="003B109D"/>
    <w:rsid w:val="003B58CC"/>
    <w:rsid w:val="003C00C3"/>
    <w:rsid w:val="003C5349"/>
    <w:rsid w:val="003D11A5"/>
    <w:rsid w:val="003D3B92"/>
    <w:rsid w:val="003D3C7A"/>
    <w:rsid w:val="003E08FB"/>
    <w:rsid w:val="003E1053"/>
    <w:rsid w:val="003E1F29"/>
    <w:rsid w:val="003E3354"/>
    <w:rsid w:val="003F2CD3"/>
    <w:rsid w:val="003F3827"/>
    <w:rsid w:val="003F3E72"/>
    <w:rsid w:val="0040068C"/>
    <w:rsid w:val="00401E47"/>
    <w:rsid w:val="004054B3"/>
    <w:rsid w:val="0040697F"/>
    <w:rsid w:val="0041212D"/>
    <w:rsid w:val="00415279"/>
    <w:rsid w:val="00422732"/>
    <w:rsid w:val="004237A5"/>
    <w:rsid w:val="004421C8"/>
    <w:rsid w:val="00443EA5"/>
    <w:rsid w:val="00444FBF"/>
    <w:rsid w:val="0044586A"/>
    <w:rsid w:val="00446641"/>
    <w:rsid w:val="00452D37"/>
    <w:rsid w:val="00457FEB"/>
    <w:rsid w:val="0046244D"/>
    <w:rsid w:val="004632E5"/>
    <w:rsid w:val="00467751"/>
    <w:rsid w:val="00472093"/>
    <w:rsid w:val="00474900"/>
    <w:rsid w:val="00475C4A"/>
    <w:rsid w:val="0048076D"/>
    <w:rsid w:val="004815B3"/>
    <w:rsid w:val="00484347"/>
    <w:rsid w:val="00484618"/>
    <w:rsid w:val="00484E72"/>
    <w:rsid w:val="004859F2"/>
    <w:rsid w:val="00486EED"/>
    <w:rsid w:val="004A0D77"/>
    <w:rsid w:val="004A0F15"/>
    <w:rsid w:val="004A2F23"/>
    <w:rsid w:val="004B4BD9"/>
    <w:rsid w:val="004B595B"/>
    <w:rsid w:val="004B65C0"/>
    <w:rsid w:val="004C138A"/>
    <w:rsid w:val="004C3E29"/>
    <w:rsid w:val="004C4BE0"/>
    <w:rsid w:val="004C7592"/>
    <w:rsid w:val="004D264F"/>
    <w:rsid w:val="004D274C"/>
    <w:rsid w:val="004D3051"/>
    <w:rsid w:val="004D4FB9"/>
    <w:rsid w:val="004D508E"/>
    <w:rsid w:val="004E3ADD"/>
    <w:rsid w:val="004E5958"/>
    <w:rsid w:val="004F05E5"/>
    <w:rsid w:val="004F0E6A"/>
    <w:rsid w:val="004F256C"/>
    <w:rsid w:val="00500432"/>
    <w:rsid w:val="0050134A"/>
    <w:rsid w:val="005013A9"/>
    <w:rsid w:val="0051172F"/>
    <w:rsid w:val="005143C1"/>
    <w:rsid w:val="0051531E"/>
    <w:rsid w:val="005167E9"/>
    <w:rsid w:val="005170B3"/>
    <w:rsid w:val="005171AE"/>
    <w:rsid w:val="0052319C"/>
    <w:rsid w:val="00527DC8"/>
    <w:rsid w:val="0053469C"/>
    <w:rsid w:val="0053555D"/>
    <w:rsid w:val="00536361"/>
    <w:rsid w:val="00544EFA"/>
    <w:rsid w:val="00550CAD"/>
    <w:rsid w:val="0055265C"/>
    <w:rsid w:val="0055289A"/>
    <w:rsid w:val="00552F87"/>
    <w:rsid w:val="00553C5C"/>
    <w:rsid w:val="00555CBA"/>
    <w:rsid w:val="005600CF"/>
    <w:rsid w:val="00561582"/>
    <w:rsid w:val="00561C72"/>
    <w:rsid w:val="00567AC2"/>
    <w:rsid w:val="005701FD"/>
    <w:rsid w:val="0057092E"/>
    <w:rsid w:val="005721A8"/>
    <w:rsid w:val="00572F81"/>
    <w:rsid w:val="005854EB"/>
    <w:rsid w:val="00587087"/>
    <w:rsid w:val="00591331"/>
    <w:rsid w:val="00592530"/>
    <w:rsid w:val="005A4613"/>
    <w:rsid w:val="005A6E96"/>
    <w:rsid w:val="005B0BFC"/>
    <w:rsid w:val="005B5C09"/>
    <w:rsid w:val="005C00F4"/>
    <w:rsid w:val="005C17DD"/>
    <w:rsid w:val="005C3687"/>
    <w:rsid w:val="005C48CD"/>
    <w:rsid w:val="005C79BD"/>
    <w:rsid w:val="005D0215"/>
    <w:rsid w:val="005D0622"/>
    <w:rsid w:val="005D175A"/>
    <w:rsid w:val="005D62D7"/>
    <w:rsid w:val="005D7BBA"/>
    <w:rsid w:val="005E1211"/>
    <w:rsid w:val="005E1921"/>
    <w:rsid w:val="005E2D8A"/>
    <w:rsid w:val="005E4D07"/>
    <w:rsid w:val="005E4FD9"/>
    <w:rsid w:val="005E509C"/>
    <w:rsid w:val="005E7D54"/>
    <w:rsid w:val="005E7DF6"/>
    <w:rsid w:val="005F33FB"/>
    <w:rsid w:val="005F3CE8"/>
    <w:rsid w:val="00603D78"/>
    <w:rsid w:val="00604EEA"/>
    <w:rsid w:val="00606CE2"/>
    <w:rsid w:val="00607650"/>
    <w:rsid w:val="0061473A"/>
    <w:rsid w:val="00617562"/>
    <w:rsid w:val="00627EDF"/>
    <w:rsid w:val="006303B0"/>
    <w:rsid w:val="00630E55"/>
    <w:rsid w:val="00634610"/>
    <w:rsid w:val="00634866"/>
    <w:rsid w:val="0063777F"/>
    <w:rsid w:val="006408B1"/>
    <w:rsid w:val="006427B7"/>
    <w:rsid w:val="00643BA6"/>
    <w:rsid w:val="00646344"/>
    <w:rsid w:val="00647223"/>
    <w:rsid w:val="006532C5"/>
    <w:rsid w:val="00660221"/>
    <w:rsid w:val="00662F90"/>
    <w:rsid w:val="00665D68"/>
    <w:rsid w:val="00671157"/>
    <w:rsid w:val="006725CE"/>
    <w:rsid w:val="0067623E"/>
    <w:rsid w:val="00677646"/>
    <w:rsid w:val="006803EA"/>
    <w:rsid w:val="006845DF"/>
    <w:rsid w:val="006936EA"/>
    <w:rsid w:val="00697939"/>
    <w:rsid w:val="006A116D"/>
    <w:rsid w:val="006A150F"/>
    <w:rsid w:val="006A1BE2"/>
    <w:rsid w:val="006A3566"/>
    <w:rsid w:val="006A537E"/>
    <w:rsid w:val="006C2CB5"/>
    <w:rsid w:val="006D1629"/>
    <w:rsid w:val="006D16D7"/>
    <w:rsid w:val="006D5544"/>
    <w:rsid w:val="006D5EC2"/>
    <w:rsid w:val="006D6B12"/>
    <w:rsid w:val="006E1364"/>
    <w:rsid w:val="006E6CC1"/>
    <w:rsid w:val="006F019F"/>
    <w:rsid w:val="006F1E04"/>
    <w:rsid w:val="006F6289"/>
    <w:rsid w:val="006F6441"/>
    <w:rsid w:val="00700ACE"/>
    <w:rsid w:val="00702A45"/>
    <w:rsid w:val="00703FD1"/>
    <w:rsid w:val="0070584A"/>
    <w:rsid w:val="00705CE4"/>
    <w:rsid w:val="00713078"/>
    <w:rsid w:val="00714756"/>
    <w:rsid w:val="00721BA5"/>
    <w:rsid w:val="00725E07"/>
    <w:rsid w:val="00726839"/>
    <w:rsid w:val="00726FDC"/>
    <w:rsid w:val="00727164"/>
    <w:rsid w:val="0073220E"/>
    <w:rsid w:val="00733F0D"/>
    <w:rsid w:val="00737A97"/>
    <w:rsid w:val="00737B74"/>
    <w:rsid w:val="00752B39"/>
    <w:rsid w:val="0075319C"/>
    <w:rsid w:val="00753C75"/>
    <w:rsid w:val="0075643B"/>
    <w:rsid w:val="00761463"/>
    <w:rsid w:val="00763092"/>
    <w:rsid w:val="00765F5A"/>
    <w:rsid w:val="00770B64"/>
    <w:rsid w:val="007727FA"/>
    <w:rsid w:val="00775E3D"/>
    <w:rsid w:val="00782E40"/>
    <w:rsid w:val="00783EB3"/>
    <w:rsid w:val="007844E2"/>
    <w:rsid w:val="007918FB"/>
    <w:rsid w:val="007A54BD"/>
    <w:rsid w:val="007A75EA"/>
    <w:rsid w:val="007A7EAF"/>
    <w:rsid w:val="007B1E6A"/>
    <w:rsid w:val="007B4118"/>
    <w:rsid w:val="007B734D"/>
    <w:rsid w:val="007C0A28"/>
    <w:rsid w:val="007C0D93"/>
    <w:rsid w:val="007C2964"/>
    <w:rsid w:val="007C4A99"/>
    <w:rsid w:val="007C5295"/>
    <w:rsid w:val="007C7E9C"/>
    <w:rsid w:val="007D4149"/>
    <w:rsid w:val="007E4C36"/>
    <w:rsid w:val="007F6280"/>
    <w:rsid w:val="007F6ABB"/>
    <w:rsid w:val="0080149D"/>
    <w:rsid w:val="00805669"/>
    <w:rsid w:val="00807C30"/>
    <w:rsid w:val="00816DE6"/>
    <w:rsid w:val="00817006"/>
    <w:rsid w:val="0082468D"/>
    <w:rsid w:val="00825257"/>
    <w:rsid w:val="008305D5"/>
    <w:rsid w:val="00832011"/>
    <w:rsid w:val="0083289D"/>
    <w:rsid w:val="008332B0"/>
    <w:rsid w:val="008376D6"/>
    <w:rsid w:val="00843261"/>
    <w:rsid w:val="0084679A"/>
    <w:rsid w:val="00852246"/>
    <w:rsid w:val="00854E8B"/>
    <w:rsid w:val="008563EB"/>
    <w:rsid w:val="00861550"/>
    <w:rsid w:val="00871641"/>
    <w:rsid w:val="0087442F"/>
    <w:rsid w:val="0087764F"/>
    <w:rsid w:val="00880473"/>
    <w:rsid w:val="0089071C"/>
    <w:rsid w:val="00894FC8"/>
    <w:rsid w:val="008A0BE1"/>
    <w:rsid w:val="008A2B41"/>
    <w:rsid w:val="008A3739"/>
    <w:rsid w:val="008A3BFB"/>
    <w:rsid w:val="008A6DFD"/>
    <w:rsid w:val="008A7C9E"/>
    <w:rsid w:val="008B1123"/>
    <w:rsid w:val="008B1151"/>
    <w:rsid w:val="008B4038"/>
    <w:rsid w:val="008B7A06"/>
    <w:rsid w:val="008C0AB0"/>
    <w:rsid w:val="008C5124"/>
    <w:rsid w:val="008C6B1F"/>
    <w:rsid w:val="008C70B7"/>
    <w:rsid w:val="008C7162"/>
    <w:rsid w:val="008C7DA3"/>
    <w:rsid w:val="008D0466"/>
    <w:rsid w:val="008E0469"/>
    <w:rsid w:val="008E2B3E"/>
    <w:rsid w:val="008E5D6C"/>
    <w:rsid w:val="008E6091"/>
    <w:rsid w:val="008E62F9"/>
    <w:rsid w:val="008F2AAC"/>
    <w:rsid w:val="008F2F8A"/>
    <w:rsid w:val="0090420B"/>
    <w:rsid w:val="00905A19"/>
    <w:rsid w:val="009064AE"/>
    <w:rsid w:val="00906F87"/>
    <w:rsid w:val="00911C74"/>
    <w:rsid w:val="00912082"/>
    <w:rsid w:val="00915EEF"/>
    <w:rsid w:val="00916AB6"/>
    <w:rsid w:val="00917886"/>
    <w:rsid w:val="009320EE"/>
    <w:rsid w:val="009321D3"/>
    <w:rsid w:val="00941B78"/>
    <w:rsid w:val="009502DD"/>
    <w:rsid w:val="00950ADC"/>
    <w:rsid w:val="009518B2"/>
    <w:rsid w:val="0095205F"/>
    <w:rsid w:val="009533DD"/>
    <w:rsid w:val="00953AF6"/>
    <w:rsid w:val="00954759"/>
    <w:rsid w:val="009633CE"/>
    <w:rsid w:val="009646EC"/>
    <w:rsid w:val="0096702A"/>
    <w:rsid w:val="00970D1E"/>
    <w:rsid w:val="00971A2C"/>
    <w:rsid w:val="00972A46"/>
    <w:rsid w:val="00972D1B"/>
    <w:rsid w:val="00975902"/>
    <w:rsid w:val="00983D98"/>
    <w:rsid w:val="00986E74"/>
    <w:rsid w:val="00986EEB"/>
    <w:rsid w:val="009872DD"/>
    <w:rsid w:val="009876D7"/>
    <w:rsid w:val="00987ED7"/>
    <w:rsid w:val="00996DFD"/>
    <w:rsid w:val="009972E9"/>
    <w:rsid w:val="00997F8C"/>
    <w:rsid w:val="009A0204"/>
    <w:rsid w:val="009A06A7"/>
    <w:rsid w:val="009A0B6F"/>
    <w:rsid w:val="009A0EB9"/>
    <w:rsid w:val="009A219C"/>
    <w:rsid w:val="009A44B5"/>
    <w:rsid w:val="009A4AD3"/>
    <w:rsid w:val="009A5913"/>
    <w:rsid w:val="009B474F"/>
    <w:rsid w:val="009B561B"/>
    <w:rsid w:val="009C138D"/>
    <w:rsid w:val="009C2D6E"/>
    <w:rsid w:val="009C3FB5"/>
    <w:rsid w:val="009C6C28"/>
    <w:rsid w:val="009C7111"/>
    <w:rsid w:val="009D0159"/>
    <w:rsid w:val="009D06A2"/>
    <w:rsid w:val="009D22C2"/>
    <w:rsid w:val="009D7087"/>
    <w:rsid w:val="009E0E71"/>
    <w:rsid w:val="009E27DD"/>
    <w:rsid w:val="009E2F00"/>
    <w:rsid w:val="009E3509"/>
    <w:rsid w:val="009F2851"/>
    <w:rsid w:val="009F42D7"/>
    <w:rsid w:val="009F6F6B"/>
    <w:rsid w:val="00A02135"/>
    <w:rsid w:val="00A05F08"/>
    <w:rsid w:val="00A14B84"/>
    <w:rsid w:val="00A16476"/>
    <w:rsid w:val="00A178C0"/>
    <w:rsid w:val="00A17ED2"/>
    <w:rsid w:val="00A2308F"/>
    <w:rsid w:val="00A24892"/>
    <w:rsid w:val="00A25E71"/>
    <w:rsid w:val="00A26209"/>
    <w:rsid w:val="00A3118C"/>
    <w:rsid w:val="00A31F61"/>
    <w:rsid w:val="00A33385"/>
    <w:rsid w:val="00A528F6"/>
    <w:rsid w:val="00A55376"/>
    <w:rsid w:val="00A56478"/>
    <w:rsid w:val="00A611D3"/>
    <w:rsid w:val="00A614EC"/>
    <w:rsid w:val="00A638D7"/>
    <w:rsid w:val="00A640E1"/>
    <w:rsid w:val="00A65735"/>
    <w:rsid w:val="00A6698C"/>
    <w:rsid w:val="00A70EF6"/>
    <w:rsid w:val="00A737EA"/>
    <w:rsid w:val="00A8046E"/>
    <w:rsid w:val="00A80602"/>
    <w:rsid w:val="00A80D6F"/>
    <w:rsid w:val="00A8160F"/>
    <w:rsid w:val="00A85C59"/>
    <w:rsid w:val="00A879F3"/>
    <w:rsid w:val="00A90797"/>
    <w:rsid w:val="00A9213A"/>
    <w:rsid w:val="00A935B1"/>
    <w:rsid w:val="00A94E11"/>
    <w:rsid w:val="00A95DB8"/>
    <w:rsid w:val="00AA5C9F"/>
    <w:rsid w:val="00AB0050"/>
    <w:rsid w:val="00AB2271"/>
    <w:rsid w:val="00AC76E0"/>
    <w:rsid w:val="00AD0090"/>
    <w:rsid w:val="00AD2BF9"/>
    <w:rsid w:val="00AD406B"/>
    <w:rsid w:val="00AD64C7"/>
    <w:rsid w:val="00AD7478"/>
    <w:rsid w:val="00AD78A6"/>
    <w:rsid w:val="00AE2259"/>
    <w:rsid w:val="00AE4581"/>
    <w:rsid w:val="00AE620F"/>
    <w:rsid w:val="00AF07E0"/>
    <w:rsid w:val="00AF1475"/>
    <w:rsid w:val="00AF33D8"/>
    <w:rsid w:val="00AF5D22"/>
    <w:rsid w:val="00B007DB"/>
    <w:rsid w:val="00B00DF5"/>
    <w:rsid w:val="00B036DA"/>
    <w:rsid w:val="00B079EE"/>
    <w:rsid w:val="00B07A33"/>
    <w:rsid w:val="00B07C05"/>
    <w:rsid w:val="00B112F1"/>
    <w:rsid w:val="00B23957"/>
    <w:rsid w:val="00B34860"/>
    <w:rsid w:val="00B36C77"/>
    <w:rsid w:val="00B378CE"/>
    <w:rsid w:val="00B42B47"/>
    <w:rsid w:val="00B4314B"/>
    <w:rsid w:val="00B47FA1"/>
    <w:rsid w:val="00B5068D"/>
    <w:rsid w:val="00B5181A"/>
    <w:rsid w:val="00B51BF9"/>
    <w:rsid w:val="00B54228"/>
    <w:rsid w:val="00B571AF"/>
    <w:rsid w:val="00B57A53"/>
    <w:rsid w:val="00B60502"/>
    <w:rsid w:val="00B639EA"/>
    <w:rsid w:val="00B67CB9"/>
    <w:rsid w:val="00B70512"/>
    <w:rsid w:val="00B71C56"/>
    <w:rsid w:val="00B72705"/>
    <w:rsid w:val="00B727E7"/>
    <w:rsid w:val="00B74832"/>
    <w:rsid w:val="00B768EA"/>
    <w:rsid w:val="00B77A9D"/>
    <w:rsid w:val="00B85167"/>
    <w:rsid w:val="00B85979"/>
    <w:rsid w:val="00B87126"/>
    <w:rsid w:val="00B878A2"/>
    <w:rsid w:val="00B922A5"/>
    <w:rsid w:val="00BA05FF"/>
    <w:rsid w:val="00BA1739"/>
    <w:rsid w:val="00BA486C"/>
    <w:rsid w:val="00BA5EB0"/>
    <w:rsid w:val="00BA7D86"/>
    <w:rsid w:val="00BB3478"/>
    <w:rsid w:val="00BB4775"/>
    <w:rsid w:val="00BC0885"/>
    <w:rsid w:val="00BC143D"/>
    <w:rsid w:val="00BD04F8"/>
    <w:rsid w:val="00BE30C5"/>
    <w:rsid w:val="00BE5F12"/>
    <w:rsid w:val="00BF3889"/>
    <w:rsid w:val="00BF50D8"/>
    <w:rsid w:val="00BF5FE4"/>
    <w:rsid w:val="00C0064B"/>
    <w:rsid w:val="00C014EE"/>
    <w:rsid w:val="00C04D37"/>
    <w:rsid w:val="00C053C5"/>
    <w:rsid w:val="00C07435"/>
    <w:rsid w:val="00C120E3"/>
    <w:rsid w:val="00C139DB"/>
    <w:rsid w:val="00C16194"/>
    <w:rsid w:val="00C16A73"/>
    <w:rsid w:val="00C17D62"/>
    <w:rsid w:val="00C21F81"/>
    <w:rsid w:val="00C241EA"/>
    <w:rsid w:val="00C271A6"/>
    <w:rsid w:val="00C35BB7"/>
    <w:rsid w:val="00C37619"/>
    <w:rsid w:val="00C43BD5"/>
    <w:rsid w:val="00C44071"/>
    <w:rsid w:val="00C449E5"/>
    <w:rsid w:val="00C4637A"/>
    <w:rsid w:val="00C466BB"/>
    <w:rsid w:val="00C5530C"/>
    <w:rsid w:val="00C55496"/>
    <w:rsid w:val="00C57902"/>
    <w:rsid w:val="00C60DB3"/>
    <w:rsid w:val="00C651FA"/>
    <w:rsid w:val="00C7011D"/>
    <w:rsid w:val="00C70E88"/>
    <w:rsid w:val="00C72184"/>
    <w:rsid w:val="00C75118"/>
    <w:rsid w:val="00C77F4C"/>
    <w:rsid w:val="00C801B0"/>
    <w:rsid w:val="00C80889"/>
    <w:rsid w:val="00C86018"/>
    <w:rsid w:val="00C91BBE"/>
    <w:rsid w:val="00C958AF"/>
    <w:rsid w:val="00C967B7"/>
    <w:rsid w:val="00CA074A"/>
    <w:rsid w:val="00CA1A45"/>
    <w:rsid w:val="00CA2748"/>
    <w:rsid w:val="00CA3BA9"/>
    <w:rsid w:val="00CA4EC4"/>
    <w:rsid w:val="00CA7283"/>
    <w:rsid w:val="00CB33D6"/>
    <w:rsid w:val="00CC7558"/>
    <w:rsid w:val="00CD76A1"/>
    <w:rsid w:val="00CE4C5F"/>
    <w:rsid w:val="00CE4C63"/>
    <w:rsid w:val="00CE5697"/>
    <w:rsid w:val="00CE5F75"/>
    <w:rsid w:val="00CF0454"/>
    <w:rsid w:val="00CF35A0"/>
    <w:rsid w:val="00D003D2"/>
    <w:rsid w:val="00D01944"/>
    <w:rsid w:val="00D1460F"/>
    <w:rsid w:val="00D14BFB"/>
    <w:rsid w:val="00D176F0"/>
    <w:rsid w:val="00D20007"/>
    <w:rsid w:val="00D22864"/>
    <w:rsid w:val="00D24237"/>
    <w:rsid w:val="00D244ED"/>
    <w:rsid w:val="00D256EE"/>
    <w:rsid w:val="00D33C71"/>
    <w:rsid w:val="00D358E6"/>
    <w:rsid w:val="00D41878"/>
    <w:rsid w:val="00D437AA"/>
    <w:rsid w:val="00D43C0D"/>
    <w:rsid w:val="00D561CF"/>
    <w:rsid w:val="00D57ACE"/>
    <w:rsid w:val="00D62DF6"/>
    <w:rsid w:val="00D650EE"/>
    <w:rsid w:val="00D6740E"/>
    <w:rsid w:val="00D75A09"/>
    <w:rsid w:val="00D768CA"/>
    <w:rsid w:val="00D84167"/>
    <w:rsid w:val="00D86A87"/>
    <w:rsid w:val="00D93141"/>
    <w:rsid w:val="00D93820"/>
    <w:rsid w:val="00D94D63"/>
    <w:rsid w:val="00DA4BA1"/>
    <w:rsid w:val="00DA4E9E"/>
    <w:rsid w:val="00DA689E"/>
    <w:rsid w:val="00DA7281"/>
    <w:rsid w:val="00DB05E1"/>
    <w:rsid w:val="00DB212F"/>
    <w:rsid w:val="00DB3132"/>
    <w:rsid w:val="00DC3E0A"/>
    <w:rsid w:val="00DC670E"/>
    <w:rsid w:val="00DC6EA7"/>
    <w:rsid w:val="00DC7EB8"/>
    <w:rsid w:val="00DD5D0D"/>
    <w:rsid w:val="00DD6C83"/>
    <w:rsid w:val="00DD6F12"/>
    <w:rsid w:val="00DD730A"/>
    <w:rsid w:val="00DE1DAE"/>
    <w:rsid w:val="00DE2338"/>
    <w:rsid w:val="00DE3834"/>
    <w:rsid w:val="00DE6549"/>
    <w:rsid w:val="00DF0B97"/>
    <w:rsid w:val="00E01F31"/>
    <w:rsid w:val="00E04007"/>
    <w:rsid w:val="00E05231"/>
    <w:rsid w:val="00E07199"/>
    <w:rsid w:val="00E1186F"/>
    <w:rsid w:val="00E149A5"/>
    <w:rsid w:val="00E161B5"/>
    <w:rsid w:val="00E2273D"/>
    <w:rsid w:val="00E25EAE"/>
    <w:rsid w:val="00E44DC9"/>
    <w:rsid w:val="00E4604F"/>
    <w:rsid w:val="00E4667F"/>
    <w:rsid w:val="00E46934"/>
    <w:rsid w:val="00E4799F"/>
    <w:rsid w:val="00E47B63"/>
    <w:rsid w:val="00E51527"/>
    <w:rsid w:val="00E5241A"/>
    <w:rsid w:val="00E53DFB"/>
    <w:rsid w:val="00E57DBC"/>
    <w:rsid w:val="00E57EFD"/>
    <w:rsid w:val="00E6425E"/>
    <w:rsid w:val="00E64351"/>
    <w:rsid w:val="00E664E0"/>
    <w:rsid w:val="00E664F9"/>
    <w:rsid w:val="00E66A1E"/>
    <w:rsid w:val="00E66B36"/>
    <w:rsid w:val="00E749EF"/>
    <w:rsid w:val="00E74C65"/>
    <w:rsid w:val="00E751D5"/>
    <w:rsid w:val="00E77BAD"/>
    <w:rsid w:val="00E8263F"/>
    <w:rsid w:val="00E8292B"/>
    <w:rsid w:val="00E91029"/>
    <w:rsid w:val="00E91BBF"/>
    <w:rsid w:val="00E93B92"/>
    <w:rsid w:val="00E96148"/>
    <w:rsid w:val="00EA2361"/>
    <w:rsid w:val="00EA32A8"/>
    <w:rsid w:val="00EA4345"/>
    <w:rsid w:val="00EB195C"/>
    <w:rsid w:val="00EB3109"/>
    <w:rsid w:val="00EB502C"/>
    <w:rsid w:val="00EB5470"/>
    <w:rsid w:val="00EB5D3A"/>
    <w:rsid w:val="00EC3707"/>
    <w:rsid w:val="00EC6887"/>
    <w:rsid w:val="00ED00CA"/>
    <w:rsid w:val="00ED0846"/>
    <w:rsid w:val="00ED5739"/>
    <w:rsid w:val="00EE0B93"/>
    <w:rsid w:val="00EE17A8"/>
    <w:rsid w:val="00EE2CC6"/>
    <w:rsid w:val="00EE635D"/>
    <w:rsid w:val="00EE6E76"/>
    <w:rsid w:val="00EF05F7"/>
    <w:rsid w:val="00EF0E75"/>
    <w:rsid w:val="00EF368A"/>
    <w:rsid w:val="00EF393E"/>
    <w:rsid w:val="00EF7A89"/>
    <w:rsid w:val="00EF7BAD"/>
    <w:rsid w:val="00F00437"/>
    <w:rsid w:val="00F02617"/>
    <w:rsid w:val="00F042C0"/>
    <w:rsid w:val="00F046D4"/>
    <w:rsid w:val="00F05896"/>
    <w:rsid w:val="00F26FFE"/>
    <w:rsid w:val="00F319F7"/>
    <w:rsid w:val="00F32C15"/>
    <w:rsid w:val="00F332D8"/>
    <w:rsid w:val="00F36675"/>
    <w:rsid w:val="00F37651"/>
    <w:rsid w:val="00F50648"/>
    <w:rsid w:val="00F53FCB"/>
    <w:rsid w:val="00F545D4"/>
    <w:rsid w:val="00F55D6F"/>
    <w:rsid w:val="00F56F6A"/>
    <w:rsid w:val="00F57900"/>
    <w:rsid w:val="00F715A2"/>
    <w:rsid w:val="00F8555A"/>
    <w:rsid w:val="00F86F51"/>
    <w:rsid w:val="00F921BD"/>
    <w:rsid w:val="00F93B18"/>
    <w:rsid w:val="00F97C14"/>
    <w:rsid w:val="00FA1080"/>
    <w:rsid w:val="00FA3149"/>
    <w:rsid w:val="00FB0B4D"/>
    <w:rsid w:val="00FB2190"/>
    <w:rsid w:val="00FB410F"/>
    <w:rsid w:val="00FB5E48"/>
    <w:rsid w:val="00FC1059"/>
    <w:rsid w:val="00FC22F9"/>
    <w:rsid w:val="00FC259E"/>
    <w:rsid w:val="00FC5691"/>
    <w:rsid w:val="00FC7AAB"/>
    <w:rsid w:val="00FD0214"/>
    <w:rsid w:val="00FD229E"/>
    <w:rsid w:val="00FD7DA4"/>
    <w:rsid w:val="00FE0829"/>
    <w:rsid w:val="00FE1966"/>
    <w:rsid w:val="00FE7CCB"/>
    <w:rsid w:val="00FF5839"/>
    <w:rsid w:val="00FF78B7"/>
    <w:rsid w:val="00FF7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15FE0"/>
  <w15:docId w15:val="{FCA26D40-3B6A-498A-9F60-264CFFCF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429A"/>
    <w:rPr>
      <w:sz w:val="24"/>
      <w:szCs w:val="24"/>
    </w:rPr>
  </w:style>
  <w:style w:type="paragraph" w:styleId="Nagwek1">
    <w:name w:val="heading 1"/>
    <w:basedOn w:val="Normalny"/>
    <w:next w:val="Normalny"/>
    <w:link w:val="Nagwek1Znak"/>
    <w:autoRedefine/>
    <w:qFormat/>
    <w:rsid w:val="002F7D27"/>
    <w:pPr>
      <w:keepNext/>
      <w:numPr>
        <w:numId w:val="1"/>
      </w:numPr>
      <w:outlineLvl w:val="0"/>
    </w:pPr>
    <w:rPr>
      <w:rFonts w:asciiTheme="minorHAnsi" w:hAnsiTheme="minorHAnsi" w:cstheme="minorHAnsi"/>
      <w:b/>
      <w:color w:val="000000"/>
      <w:sz w:val="22"/>
      <w:szCs w:val="22"/>
      <w:lang w:val="cs-CZ"/>
    </w:rPr>
  </w:style>
  <w:style w:type="paragraph" w:styleId="Nagwek2">
    <w:name w:val="heading 2"/>
    <w:basedOn w:val="Normalny"/>
    <w:next w:val="Normalny"/>
    <w:link w:val="Nagwek2Znak"/>
    <w:qFormat/>
    <w:rsid w:val="00761463"/>
    <w:pPr>
      <w:keepNext/>
      <w:spacing w:before="240" w:after="60"/>
      <w:outlineLvl w:val="1"/>
    </w:pPr>
    <w:rPr>
      <w:rFonts w:ascii="Cambria" w:hAnsi="Cambria"/>
      <w:b/>
      <w:bCs/>
      <w:i/>
      <w:iCs/>
      <w:sz w:val="28"/>
      <w:szCs w:val="28"/>
      <w:lang w:val="en-US" w:eastAsia="en-US"/>
    </w:rPr>
  </w:style>
  <w:style w:type="paragraph" w:styleId="Nagwek3">
    <w:name w:val="heading 3"/>
    <w:basedOn w:val="Normalny"/>
    <w:next w:val="Normalny"/>
    <w:link w:val="Nagwek3Znak"/>
    <w:qFormat/>
    <w:rsid w:val="00B74832"/>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B7483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F3D94"/>
    <w:pPr>
      <w:tabs>
        <w:tab w:val="center" w:pos="4536"/>
        <w:tab w:val="right" w:pos="9072"/>
      </w:tabs>
    </w:pPr>
  </w:style>
  <w:style w:type="paragraph" w:styleId="Stopka">
    <w:name w:val="footer"/>
    <w:basedOn w:val="Normalny"/>
    <w:link w:val="StopkaZnak"/>
    <w:uiPriority w:val="99"/>
    <w:rsid w:val="002F3D94"/>
    <w:pPr>
      <w:tabs>
        <w:tab w:val="center" w:pos="4536"/>
        <w:tab w:val="right" w:pos="9072"/>
      </w:tabs>
    </w:pPr>
  </w:style>
  <w:style w:type="character" w:styleId="Hipercze">
    <w:name w:val="Hyperlink"/>
    <w:uiPriority w:val="99"/>
    <w:rsid w:val="002F3D94"/>
    <w:rPr>
      <w:color w:val="0000FF"/>
      <w:u w:val="single"/>
    </w:rPr>
  </w:style>
  <w:style w:type="paragraph" w:customStyle="1" w:styleId="ZnakZnakZnakZnakZnakZnakZnakZnakZnak1ZnakZnakZnakZnak">
    <w:name w:val="Znak Znak Znak Znak Znak Znak Znak Znak Znak1 Znak Znak Znak Znak"/>
    <w:basedOn w:val="Normalny"/>
    <w:rsid w:val="00E326A9"/>
  </w:style>
  <w:style w:type="character" w:styleId="Odwoaniedokomentarza">
    <w:name w:val="annotation reference"/>
    <w:semiHidden/>
    <w:rsid w:val="007D270E"/>
    <w:rPr>
      <w:sz w:val="16"/>
      <w:szCs w:val="16"/>
    </w:rPr>
  </w:style>
  <w:style w:type="paragraph" w:styleId="Tekstkomentarza">
    <w:name w:val="annotation text"/>
    <w:basedOn w:val="Normalny"/>
    <w:semiHidden/>
    <w:rsid w:val="007D270E"/>
    <w:rPr>
      <w:sz w:val="20"/>
      <w:szCs w:val="20"/>
    </w:rPr>
  </w:style>
  <w:style w:type="paragraph" w:styleId="Tematkomentarza">
    <w:name w:val="annotation subject"/>
    <w:basedOn w:val="Tekstkomentarza"/>
    <w:next w:val="Tekstkomentarza"/>
    <w:semiHidden/>
    <w:rsid w:val="007D270E"/>
    <w:rPr>
      <w:b/>
      <w:bCs/>
    </w:rPr>
  </w:style>
  <w:style w:type="paragraph" w:styleId="Tekstdymka">
    <w:name w:val="Balloon Text"/>
    <w:basedOn w:val="Normalny"/>
    <w:semiHidden/>
    <w:rsid w:val="007D270E"/>
    <w:rPr>
      <w:rFonts w:ascii="Tahoma" w:hAnsi="Tahoma" w:cs="Tahoma"/>
      <w:sz w:val="16"/>
      <w:szCs w:val="16"/>
    </w:rPr>
  </w:style>
  <w:style w:type="character" w:customStyle="1" w:styleId="StopkaZnak">
    <w:name w:val="Stopka Znak"/>
    <w:link w:val="Stopka"/>
    <w:uiPriority w:val="99"/>
    <w:rsid w:val="00405D19"/>
    <w:rPr>
      <w:sz w:val="24"/>
      <w:szCs w:val="24"/>
      <w:lang w:val="pl-PL" w:eastAsia="pl-PL"/>
    </w:rPr>
  </w:style>
  <w:style w:type="character" w:customStyle="1" w:styleId="Nagwek1Znak">
    <w:name w:val="Nagłówek 1 Znak"/>
    <w:link w:val="Nagwek1"/>
    <w:rsid w:val="002F7D27"/>
    <w:rPr>
      <w:rFonts w:asciiTheme="minorHAnsi" w:hAnsiTheme="minorHAnsi" w:cstheme="minorHAnsi"/>
      <w:b/>
      <w:color w:val="000000"/>
      <w:sz w:val="22"/>
      <w:szCs w:val="22"/>
      <w:lang w:val="cs-CZ"/>
    </w:rPr>
  </w:style>
  <w:style w:type="character" w:styleId="Pogrubienie">
    <w:name w:val="Strong"/>
    <w:qFormat/>
    <w:rsid w:val="00A37D34"/>
    <w:rPr>
      <w:b/>
      <w:bCs/>
    </w:rPr>
  </w:style>
  <w:style w:type="character" w:styleId="Uwydatnienie">
    <w:name w:val="Emphasis"/>
    <w:qFormat/>
    <w:rsid w:val="0086623E"/>
    <w:rPr>
      <w:i/>
      <w:iCs/>
    </w:rPr>
  </w:style>
  <w:style w:type="paragraph" w:styleId="Tekstpodstawowy">
    <w:name w:val="Body Text"/>
    <w:basedOn w:val="Normalny"/>
    <w:link w:val="TekstpodstawowyZnak"/>
    <w:rsid w:val="001B6DC2"/>
    <w:pPr>
      <w:jc w:val="both"/>
    </w:pPr>
    <w:rPr>
      <w:szCs w:val="20"/>
    </w:rPr>
  </w:style>
  <w:style w:type="character" w:customStyle="1" w:styleId="TekstpodstawowyZnak">
    <w:name w:val="Tekst podstawowy Znak"/>
    <w:link w:val="Tekstpodstawowy"/>
    <w:rsid w:val="001B6DC2"/>
    <w:rPr>
      <w:sz w:val="24"/>
    </w:rPr>
  </w:style>
  <w:style w:type="character" w:customStyle="1" w:styleId="title2">
    <w:name w:val="title2"/>
    <w:rsid w:val="00604EEA"/>
    <w:rPr>
      <w:rFonts w:ascii="Arial" w:hAnsi="Arial" w:cs="Arial" w:hint="default"/>
      <w:b/>
      <w:bCs/>
      <w:strike w:val="0"/>
      <w:dstrike w:val="0"/>
      <w:color w:val="999999"/>
      <w:sz w:val="25"/>
      <w:szCs w:val="25"/>
      <w:u w:val="none"/>
      <w:effect w:val="none"/>
    </w:rPr>
  </w:style>
  <w:style w:type="character" w:customStyle="1" w:styleId="Nagwek2Znak">
    <w:name w:val="Nagłówek 2 Znak"/>
    <w:link w:val="Nagwek2"/>
    <w:rsid w:val="00761463"/>
    <w:rPr>
      <w:rFonts w:ascii="Cambria" w:hAnsi="Cambria"/>
      <w:b/>
      <w:bCs/>
      <w:i/>
      <w:iCs/>
      <w:sz w:val="28"/>
      <w:szCs w:val="28"/>
      <w:lang w:val="en-US" w:eastAsia="en-US"/>
    </w:rPr>
  </w:style>
  <w:style w:type="paragraph" w:customStyle="1" w:styleId="Zawartotabeli">
    <w:name w:val="Zawartość tabeli"/>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Zawartotabeli1">
    <w:name w:val="WW-Zawartość tabeli1"/>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Zawartotabeli11">
    <w:name w:val="WW-Zawartość tabeli11"/>
    <w:basedOn w:val="Tekstpodstawowy"/>
    <w:rsid w:val="00761463"/>
    <w:pPr>
      <w:widowControl w:val="0"/>
      <w:suppressLineNumbers/>
      <w:suppressAutoHyphens/>
      <w:autoSpaceDE w:val="0"/>
      <w:spacing w:after="120"/>
      <w:jc w:val="left"/>
    </w:pPr>
    <w:rPr>
      <w:rFonts w:eastAsia="Lucida Sans Unicode"/>
      <w:szCs w:val="24"/>
    </w:rPr>
  </w:style>
  <w:style w:type="paragraph" w:customStyle="1" w:styleId="WW-Nagwektabeli11">
    <w:name w:val="WW-Nagłówek tabeli11"/>
    <w:basedOn w:val="WW-Zawartotabeli11"/>
    <w:rsid w:val="00761463"/>
    <w:pPr>
      <w:jc w:val="center"/>
    </w:pPr>
    <w:rPr>
      <w:b/>
      <w:bCs/>
      <w:i/>
      <w:iCs/>
    </w:rPr>
  </w:style>
  <w:style w:type="paragraph" w:customStyle="1" w:styleId="WW-Zawartoramki11">
    <w:name w:val="WW-Zawartość ramki11"/>
    <w:basedOn w:val="Tekstpodstawowy"/>
    <w:rsid w:val="00761463"/>
    <w:pPr>
      <w:widowControl w:val="0"/>
      <w:suppressAutoHyphens/>
      <w:autoSpaceDE w:val="0"/>
      <w:spacing w:after="120"/>
      <w:jc w:val="left"/>
    </w:pPr>
    <w:rPr>
      <w:rFonts w:eastAsia="Lucida Sans Unicode"/>
      <w:szCs w:val="24"/>
    </w:rPr>
  </w:style>
  <w:style w:type="paragraph" w:customStyle="1" w:styleId="tabela">
    <w:name w:val="tabela"/>
    <w:basedOn w:val="Normalny"/>
    <w:rsid w:val="00761463"/>
    <w:pPr>
      <w:widowControl w:val="0"/>
      <w:suppressAutoHyphens/>
      <w:autoSpaceDE w:val="0"/>
      <w:spacing w:before="40" w:after="40"/>
    </w:pPr>
    <w:rPr>
      <w:rFonts w:ascii="Tahoma" w:eastAsia="Lucida Sans Unicode" w:hAnsi="Tahoma" w:cs="Tahoma"/>
      <w:sz w:val="18"/>
      <w:szCs w:val="18"/>
    </w:rPr>
  </w:style>
  <w:style w:type="paragraph" w:customStyle="1" w:styleId="WW-Nagwekspisutreci">
    <w:name w:val="WW-Nagłówek spisu treści"/>
    <w:basedOn w:val="Normalny"/>
    <w:rsid w:val="00761463"/>
    <w:pPr>
      <w:keepNext/>
      <w:widowControl w:val="0"/>
      <w:suppressLineNumbers/>
      <w:suppressAutoHyphens/>
      <w:autoSpaceDE w:val="0"/>
      <w:spacing w:before="240" w:after="120"/>
    </w:pPr>
    <w:rPr>
      <w:rFonts w:ascii="Arial" w:eastAsia="Lucida Sans Unicode" w:hAnsi="Arial" w:cs="Tahoma"/>
      <w:b/>
      <w:bCs/>
      <w:sz w:val="32"/>
      <w:szCs w:val="32"/>
    </w:rPr>
  </w:style>
  <w:style w:type="paragraph" w:styleId="Spistreci1">
    <w:name w:val="toc 1"/>
    <w:basedOn w:val="Normalny"/>
    <w:autoRedefine/>
    <w:uiPriority w:val="39"/>
    <w:qFormat/>
    <w:rsid w:val="00260A33"/>
    <w:pPr>
      <w:spacing w:before="120"/>
      <w:jc w:val="both"/>
    </w:pPr>
    <w:rPr>
      <w:bCs/>
      <w:sz w:val="20"/>
      <w:szCs w:val="20"/>
    </w:rPr>
  </w:style>
  <w:style w:type="paragraph" w:styleId="Spistreci2">
    <w:name w:val="toc 2"/>
    <w:basedOn w:val="Normalny"/>
    <w:uiPriority w:val="39"/>
    <w:rsid w:val="00761463"/>
    <w:pPr>
      <w:spacing w:before="120"/>
      <w:ind w:left="240"/>
    </w:pPr>
    <w:rPr>
      <w:rFonts w:asciiTheme="minorHAnsi" w:hAnsiTheme="minorHAnsi"/>
      <w:i/>
      <w:iCs/>
      <w:sz w:val="20"/>
      <w:szCs w:val="20"/>
    </w:rPr>
  </w:style>
  <w:style w:type="paragraph" w:styleId="Tekstprzypisudolnego">
    <w:name w:val="footnote text"/>
    <w:aliases w:val="Podrozdział,Footnote,Podrozdzia3"/>
    <w:basedOn w:val="Normalny"/>
    <w:link w:val="TekstprzypisudolnegoZnak"/>
    <w:unhideWhenUsed/>
    <w:rsid w:val="004D4FB9"/>
    <w:rPr>
      <w:sz w:val="20"/>
      <w:szCs w:val="20"/>
      <w:lang w:val="en-US" w:eastAsia="en-US"/>
    </w:rPr>
  </w:style>
  <w:style w:type="character" w:customStyle="1" w:styleId="TekstprzypisudolnegoZnak">
    <w:name w:val="Tekst przypisu dolnego Znak"/>
    <w:aliases w:val="Podrozdział Znak,Footnote Znak,Podrozdzia3 Znak"/>
    <w:link w:val="Tekstprzypisudolnego"/>
    <w:rsid w:val="004D4FB9"/>
    <w:rPr>
      <w:lang w:val="en-US" w:eastAsia="en-US"/>
    </w:rPr>
  </w:style>
  <w:style w:type="character" w:styleId="Odwoanieprzypisudolnego">
    <w:name w:val="footnote reference"/>
    <w:unhideWhenUsed/>
    <w:rsid w:val="004D4FB9"/>
    <w:rPr>
      <w:vertAlign w:val="superscript"/>
    </w:rPr>
  </w:style>
  <w:style w:type="paragraph" w:styleId="Tekstprzypisukocowego">
    <w:name w:val="endnote text"/>
    <w:basedOn w:val="Normalny"/>
    <w:link w:val="TekstprzypisukocowegoZnak"/>
    <w:rsid w:val="00C75118"/>
    <w:pPr>
      <w:spacing w:before="200" w:line="320" w:lineRule="atLeast"/>
    </w:pPr>
    <w:rPr>
      <w:rFonts w:ascii="Arial" w:hAnsi="Arial"/>
      <w:sz w:val="20"/>
      <w:szCs w:val="20"/>
    </w:rPr>
  </w:style>
  <w:style w:type="character" w:customStyle="1" w:styleId="TekstprzypisukocowegoZnak">
    <w:name w:val="Tekst przypisu końcowego Znak"/>
    <w:link w:val="Tekstprzypisukocowego"/>
    <w:rsid w:val="00C75118"/>
    <w:rPr>
      <w:rFonts w:ascii="Arial" w:hAnsi="Arial"/>
    </w:rPr>
  </w:style>
  <w:style w:type="paragraph" w:styleId="Akapitzlist">
    <w:name w:val="List Paragraph"/>
    <w:basedOn w:val="Normalny"/>
    <w:uiPriority w:val="34"/>
    <w:qFormat/>
    <w:rsid w:val="00BC0885"/>
    <w:pPr>
      <w:ind w:left="720"/>
      <w:contextualSpacing/>
    </w:pPr>
  </w:style>
  <w:style w:type="paragraph" w:customStyle="1" w:styleId="Standardowy1">
    <w:name w:val="Standardowy1"/>
    <w:rsid w:val="00C55496"/>
    <w:pPr>
      <w:tabs>
        <w:tab w:val="left" w:pos="720"/>
      </w:tabs>
      <w:overflowPunct w:val="0"/>
      <w:autoSpaceDE w:val="0"/>
      <w:autoSpaceDN w:val="0"/>
      <w:adjustRightInd w:val="0"/>
      <w:jc w:val="both"/>
      <w:textAlignment w:val="baseline"/>
    </w:pPr>
    <w:rPr>
      <w:sz w:val="24"/>
    </w:rPr>
  </w:style>
  <w:style w:type="character" w:customStyle="1" w:styleId="Nagwek3Znak">
    <w:name w:val="Nagłówek 3 Znak"/>
    <w:link w:val="Nagwek3"/>
    <w:rsid w:val="00B74832"/>
    <w:rPr>
      <w:rFonts w:ascii="Arial" w:hAnsi="Arial" w:cs="Arial"/>
      <w:b/>
      <w:bCs/>
      <w:sz w:val="26"/>
      <w:szCs w:val="26"/>
    </w:rPr>
  </w:style>
  <w:style w:type="character" w:customStyle="1" w:styleId="Nagwek4Znak">
    <w:name w:val="Nagłówek 4 Znak"/>
    <w:link w:val="Nagwek4"/>
    <w:rsid w:val="00B74832"/>
    <w:rPr>
      <w:b/>
      <w:bCs/>
      <w:sz w:val="28"/>
      <w:szCs w:val="28"/>
    </w:rPr>
  </w:style>
  <w:style w:type="table" w:styleId="Tabela-Siatka">
    <w:name w:val="Table Grid"/>
    <w:basedOn w:val="Standardowy"/>
    <w:rsid w:val="009E3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kocowego">
    <w:name w:val="endnote reference"/>
    <w:rsid w:val="00996DFD"/>
    <w:rPr>
      <w:vertAlign w:val="superscript"/>
    </w:rPr>
  </w:style>
  <w:style w:type="character" w:customStyle="1" w:styleId="NagwekZnak">
    <w:name w:val="Nagłówek Znak"/>
    <w:link w:val="Nagwek"/>
    <w:rsid w:val="00002195"/>
    <w:rPr>
      <w:sz w:val="24"/>
      <w:szCs w:val="24"/>
    </w:rPr>
  </w:style>
  <w:style w:type="paragraph" w:styleId="Spistreci3">
    <w:name w:val="toc 3"/>
    <w:basedOn w:val="Normalny"/>
    <w:next w:val="Normalny"/>
    <w:autoRedefine/>
    <w:uiPriority w:val="39"/>
    <w:unhideWhenUsed/>
    <w:rsid w:val="000453AA"/>
    <w:pPr>
      <w:ind w:left="480"/>
    </w:pPr>
    <w:rPr>
      <w:rFonts w:asciiTheme="minorHAnsi" w:hAnsiTheme="minorHAnsi"/>
      <w:sz w:val="20"/>
      <w:szCs w:val="20"/>
    </w:rPr>
  </w:style>
  <w:style w:type="paragraph" w:styleId="Spistreci4">
    <w:name w:val="toc 4"/>
    <w:basedOn w:val="Normalny"/>
    <w:next w:val="Normalny"/>
    <w:autoRedefine/>
    <w:unhideWhenUsed/>
    <w:rsid w:val="000453AA"/>
    <w:pPr>
      <w:ind w:left="720"/>
    </w:pPr>
    <w:rPr>
      <w:rFonts w:asciiTheme="minorHAnsi" w:hAnsiTheme="minorHAnsi"/>
      <w:sz w:val="20"/>
      <w:szCs w:val="20"/>
    </w:rPr>
  </w:style>
  <w:style w:type="paragraph" w:styleId="Spistreci5">
    <w:name w:val="toc 5"/>
    <w:basedOn w:val="Normalny"/>
    <w:next w:val="Normalny"/>
    <w:autoRedefine/>
    <w:unhideWhenUsed/>
    <w:rsid w:val="000453AA"/>
    <w:pPr>
      <w:ind w:left="960"/>
    </w:pPr>
    <w:rPr>
      <w:rFonts w:asciiTheme="minorHAnsi" w:hAnsiTheme="minorHAnsi"/>
      <w:sz w:val="20"/>
      <w:szCs w:val="20"/>
    </w:rPr>
  </w:style>
  <w:style w:type="paragraph" w:styleId="Spistreci6">
    <w:name w:val="toc 6"/>
    <w:basedOn w:val="Normalny"/>
    <w:next w:val="Normalny"/>
    <w:autoRedefine/>
    <w:unhideWhenUsed/>
    <w:rsid w:val="000453AA"/>
    <w:pPr>
      <w:ind w:left="1200"/>
    </w:pPr>
    <w:rPr>
      <w:rFonts w:asciiTheme="minorHAnsi" w:hAnsiTheme="minorHAnsi"/>
      <w:sz w:val="20"/>
      <w:szCs w:val="20"/>
    </w:rPr>
  </w:style>
  <w:style w:type="paragraph" w:styleId="Spistreci7">
    <w:name w:val="toc 7"/>
    <w:basedOn w:val="Normalny"/>
    <w:next w:val="Normalny"/>
    <w:autoRedefine/>
    <w:unhideWhenUsed/>
    <w:rsid w:val="000453AA"/>
    <w:pPr>
      <w:ind w:left="1440"/>
    </w:pPr>
    <w:rPr>
      <w:rFonts w:asciiTheme="minorHAnsi" w:hAnsiTheme="minorHAnsi"/>
      <w:sz w:val="20"/>
      <w:szCs w:val="20"/>
    </w:rPr>
  </w:style>
  <w:style w:type="paragraph" w:styleId="Spistreci8">
    <w:name w:val="toc 8"/>
    <w:basedOn w:val="Normalny"/>
    <w:next w:val="Normalny"/>
    <w:autoRedefine/>
    <w:unhideWhenUsed/>
    <w:rsid w:val="000453AA"/>
    <w:pPr>
      <w:ind w:left="1680"/>
    </w:pPr>
    <w:rPr>
      <w:rFonts w:asciiTheme="minorHAnsi" w:hAnsiTheme="minorHAnsi"/>
      <w:sz w:val="20"/>
      <w:szCs w:val="20"/>
    </w:rPr>
  </w:style>
  <w:style w:type="paragraph" w:styleId="Spistreci9">
    <w:name w:val="toc 9"/>
    <w:basedOn w:val="Normalny"/>
    <w:next w:val="Normalny"/>
    <w:autoRedefine/>
    <w:unhideWhenUsed/>
    <w:rsid w:val="000453AA"/>
    <w:pPr>
      <w:ind w:left="1920"/>
    </w:pPr>
    <w:rPr>
      <w:rFonts w:asciiTheme="minorHAnsi" w:hAnsiTheme="minorHAnsi"/>
      <w:sz w:val="20"/>
      <w:szCs w:val="20"/>
    </w:rPr>
  </w:style>
  <w:style w:type="paragraph" w:styleId="Indeks1">
    <w:name w:val="index 1"/>
    <w:basedOn w:val="Normalny"/>
    <w:next w:val="Normalny"/>
    <w:autoRedefine/>
    <w:unhideWhenUsed/>
    <w:rsid w:val="000453AA"/>
    <w:pPr>
      <w:ind w:left="240" w:hanging="240"/>
    </w:pPr>
    <w:rPr>
      <w:rFonts w:asciiTheme="minorHAnsi" w:hAnsiTheme="minorHAnsi"/>
      <w:sz w:val="18"/>
      <w:szCs w:val="18"/>
    </w:rPr>
  </w:style>
  <w:style w:type="paragraph" w:styleId="Indeks2">
    <w:name w:val="index 2"/>
    <w:basedOn w:val="Normalny"/>
    <w:next w:val="Normalny"/>
    <w:autoRedefine/>
    <w:unhideWhenUsed/>
    <w:rsid w:val="000453AA"/>
    <w:pPr>
      <w:ind w:left="480" w:hanging="240"/>
    </w:pPr>
    <w:rPr>
      <w:rFonts w:asciiTheme="minorHAnsi" w:hAnsiTheme="minorHAnsi"/>
      <w:sz w:val="18"/>
      <w:szCs w:val="18"/>
    </w:rPr>
  </w:style>
  <w:style w:type="paragraph" w:styleId="Indeks3">
    <w:name w:val="index 3"/>
    <w:basedOn w:val="Normalny"/>
    <w:next w:val="Normalny"/>
    <w:autoRedefine/>
    <w:unhideWhenUsed/>
    <w:rsid w:val="000453AA"/>
    <w:pPr>
      <w:ind w:left="720" w:hanging="240"/>
    </w:pPr>
    <w:rPr>
      <w:rFonts w:asciiTheme="minorHAnsi" w:hAnsiTheme="minorHAnsi"/>
      <w:sz w:val="18"/>
      <w:szCs w:val="18"/>
    </w:rPr>
  </w:style>
  <w:style w:type="paragraph" w:styleId="Indeks4">
    <w:name w:val="index 4"/>
    <w:basedOn w:val="Normalny"/>
    <w:next w:val="Normalny"/>
    <w:autoRedefine/>
    <w:unhideWhenUsed/>
    <w:rsid w:val="000453AA"/>
    <w:pPr>
      <w:ind w:left="960" w:hanging="240"/>
    </w:pPr>
    <w:rPr>
      <w:rFonts w:asciiTheme="minorHAnsi" w:hAnsiTheme="minorHAnsi"/>
      <w:sz w:val="18"/>
      <w:szCs w:val="18"/>
    </w:rPr>
  </w:style>
  <w:style w:type="paragraph" w:styleId="Indeks5">
    <w:name w:val="index 5"/>
    <w:basedOn w:val="Normalny"/>
    <w:next w:val="Normalny"/>
    <w:autoRedefine/>
    <w:unhideWhenUsed/>
    <w:rsid w:val="000453AA"/>
    <w:pPr>
      <w:ind w:left="1200" w:hanging="240"/>
    </w:pPr>
    <w:rPr>
      <w:rFonts w:asciiTheme="minorHAnsi" w:hAnsiTheme="minorHAnsi"/>
      <w:sz w:val="18"/>
      <w:szCs w:val="18"/>
    </w:rPr>
  </w:style>
  <w:style w:type="paragraph" w:styleId="Indeks6">
    <w:name w:val="index 6"/>
    <w:basedOn w:val="Normalny"/>
    <w:next w:val="Normalny"/>
    <w:autoRedefine/>
    <w:unhideWhenUsed/>
    <w:rsid w:val="000453AA"/>
    <w:pPr>
      <w:ind w:left="1440" w:hanging="240"/>
    </w:pPr>
    <w:rPr>
      <w:rFonts w:asciiTheme="minorHAnsi" w:hAnsiTheme="minorHAnsi"/>
      <w:sz w:val="18"/>
      <w:szCs w:val="18"/>
    </w:rPr>
  </w:style>
  <w:style w:type="paragraph" w:styleId="Indeks7">
    <w:name w:val="index 7"/>
    <w:basedOn w:val="Normalny"/>
    <w:next w:val="Normalny"/>
    <w:autoRedefine/>
    <w:unhideWhenUsed/>
    <w:rsid w:val="000453AA"/>
    <w:pPr>
      <w:ind w:left="1680" w:hanging="240"/>
    </w:pPr>
    <w:rPr>
      <w:rFonts w:asciiTheme="minorHAnsi" w:hAnsiTheme="minorHAnsi"/>
      <w:sz w:val="18"/>
      <w:szCs w:val="18"/>
    </w:rPr>
  </w:style>
  <w:style w:type="paragraph" w:styleId="Indeks8">
    <w:name w:val="index 8"/>
    <w:basedOn w:val="Normalny"/>
    <w:next w:val="Normalny"/>
    <w:autoRedefine/>
    <w:unhideWhenUsed/>
    <w:rsid w:val="000453AA"/>
    <w:pPr>
      <w:ind w:left="1920" w:hanging="240"/>
    </w:pPr>
    <w:rPr>
      <w:rFonts w:asciiTheme="minorHAnsi" w:hAnsiTheme="minorHAnsi"/>
      <w:sz w:val="18"/>
      <w:szCs w:val="18"/>
    </w:rPr>
  </w:style>
  <w:style w:type="paragraph" w:styleId="Indeks9">
    <w:name w:val="index 9"/>
    <w:basedOn w:val="Normalny"/>
    <w:next w:val="Normalny"/>
    <w:autoRedefine/>
    <w:unhideWhenUsed/>
    <w:rsid w:val="000453AA"/>
    <w:pPr>
      <w:ind w:left="2160" w:hanging="240"/>
    </w:pPr>
    <w:rPr>
      <w:rFonts w:asciiTheme="minorHAnsi" w:hAnsiTheme="minorHAnsi"/>
      <w:sz w:val="18"/>
      <w:szCs w:val="18"/>
    </w:rPr>
  </w:style>
  <w:style w:type="paragraph" w:styleId="Nagwekindeksu">
    <w:name w:val="index heading"/>
    <w:basedOn w:val="Normalny"/>
    <w:next w:val="Indeks1"/>
    <w:unhideWhenUsed/>
    <w:rsid w:val="000453AA"/>
    <w:pPr>
      <w:pBdr>
        <w:top w:val="single" w:sz="12" w:space="0" w:color="auto"/>
      </w:pBdr>
      <w:spacing w:before="360" w:after="240"/>
    </w:pPr>
    <w:rPr>
      <w:rFonts w:asciiTheme="minorHAnsi" w:hAnsiTheme="minorHAnsi"/>
      <w:b/>
      <w:bCs/>
      <w:i/>
      <w:iCs/>
      <w:sz w:val="26"/>
      <w:szCs w:val="26"/>
    </w:rPr>
  </w:style>
  <w:style w:type="paragraph" w:styleId="Nagwekspisutreci">
    <w:name w:val="TOC Heading"/>
    <w:basedOn w:val="Nagwek1"/>
    <w:next w:val="Normalny"/>
    <w:uiPriority w:val="39"/>
    <w:unhideWhenUsed/>
    <w:qFormat/>
    <w:rsid w:val="004F256C"/>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val="pl-PL"/>
    </w:rPr>
  </w:style>
  <w:style w:type="character" w:customStyle="1" w:styleId="WW8Num2z3">
    <w:name w:val="WW8Num2z3"/>
    <w:rsid w:val="009633CE"/>
    <w:rPr>
      <w:rFonts w:ascii="Symbol" w:hAnsi="Symbol"/>
    </w:rPr>
  </w:style>
  <w:style w:type="paragraph" w:styleId="Poprawka">
    <w:name w:val="Revision"/>
    <w:hidden/>
    <w:uiPriority w:val="99"/>
    <w:semiHidden/>
    <w:rsid w:val="006D5E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484">
      <w:bodyDiv w:val="1"/>
      <w:marLeft w:val="0"/>
      <w:marRight w:val="0"/>
      <w:marTop w:val="0"/>
      <w:marBottom w:val="0"/>
      <w:divBdr>
        <w:top w:val="none" w:sz="0" w:space="0" w:color="auto"/>
        <w:left w:val="none" w:sz="0" w:space="0" w:color="auto"/>
        <w:bottom w:val="none" w:sz="0" w:space="0" w:color="auto"/>
        <w:right w:val="none" w:sz="0" w:space="0" w:color="auto"/>
      </w:divBdr>
    </w:div>
    <w:div w:id="30375662">
      <w:bodyDiv w:val="1"/>
      <w:marLeft w:val="0"/>
      <w:marRight w:val="0"/>
      <w:marTop w:val="0"/>
      <w:marBottom w:val="0"/>
      <w:divBdr>
        <w:top w:val="none" w:sz="0" w:space="0" w:color="auto"/>
        <w:left w:val="none" w:sz="0" w:space="0" w:color="auto"/>
        <w:bottom w:val="none" w:sz="0" w:space="0" w:color="auto"/>
        <w:right w:val="none" w:sz="0" w:space="0" w:color="auto"/>
      </w:divBdr>
    </w:div>
    <w:div w:id="112527358">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234635502">
      <w:bodyDiv w:val="1"/>
      <w:marLeft w:val="0"/>
      <w:marRight w:val="0"/>
      <w:marTop w:val="0"/>
      <w:marBottom w:val="0"/>
      <w:divBdr>
        <w:top w:val="none" w:sz="0" w:space="0" w:color="auto"/>
        <w:left w:val="none" w:sz="0" w:space="0" w:color="auto"/>
        <w:bottom w:val="none" w:sz="0" w:space="0" w:color="auto"/>
        <w:right w:val="none" w:sz="0" w:space="0" w:color="auto"/>
      </w:divBdr>
      <w:divsChild>
        <w:div w:id="1907106821">
          <w:marLeft w:val="144"/>
          <w:marRight w:val="0"/>
          <w:marTop w:val="240"/>
          <w:marBottom w:val="40"/>
          <w:divBdr>
            <w:top w:val="none" w:sz="0" w:space="0" w:color="auto"/>
            <w:left w:val="none" w:sz="0" w:space="0" w:color="auto"/>
            <w:bottom w:val="none" w:sz="0" w:space="0" w:color="auto"/>
            <w:right w:val="none" w:sz="0" w:space="0" w:color="auto"/>
          </w:divBdr>
        </w:div>
        <w:div w:id="2091005142">
          <w:marLeft w:val="144"/>
          <w:marRight w:val="0"/>
          <w:marTop w:val="240"/>
          <w:marBottom w:val="40"/>
          <w:divBdr>
            <w:top w:val="none" w:sz="0" w:space="0" w:color="auto"/>
            <w:left w:val="none" w:sz="0" w:space="0" w:color="auto"/>
            <w:bottom w:val="none" w:sz="0" w:space="0" w:color="auto"/>
            <w:right w:val="none" w:sz="0" w:space="0" w:color="auto"/>
          </w:divBdr>
        </w:div>
        <w:div w:id="611743454">
          <w:marLeft w:val="144"/>
          <w:marRight w:val="0"/>
          <w:marTop w:val="240"/>
          <w:marBottom w:val="40"/>
          <w:divBdr>
            <w:top w:val="none" w:sz="0" w:space="0" w:color="auto"/>
            <w:left w:val="none" w:sz="0" w:space="0" w:color="auto"/>
            <w:bottom w:val="none" w:sz="0" w:space="0" w:color="auto"/>
            <w:right w:val="none" w:sz="0" w:space="0" w:color="auto"/>
          </w:divBdr>
        </w:div>
        <w:div w:id="668485139">
          <w:marLeft w:val="144"/>
          <w:marRight w:val="0"/>
          <w:marTop w:val="240"/>
          <w:marBottom w:val="40"/>
          <w:divBdr>
            <w:top w:val="none" w:sz="0" w:space="0" w:color="auto"/>
            <w:left w:val="none" w:sz="0" w:space="0" w:color="auto"/>
            <w:bottom w:val="none" w:sz="0" w:space="0" w:color="auto"/>
            <w:right w:val="none" w:sz="0" w:space="0" w:color="auto"/>
          </w:divBdr>
        </w:div>
        <w:div w:id="859009809">
          <w:marLeft w:val="144"/>
          <w:marRight w:val="0"/>
          <w:marTop w:val="240"/>
          <w:marBottom w:val="40"/>
          <w:divBdr>
            <w:top w:val="none" w:sz="0" w:space="0" w:color="auto"/>
            <w:left w:val="none" w:sz="0" w:space="0" w:color="auto"/>
            <w:bottom w:val="none" w:sz="0" w:space="0" w:color="auto"/>
            <w:right w:val="none" w:sz="0" w:space="0" w:color="auto"/>
          </w:divBdr>
        </w:div>
        <w:div w:id="489055955">
          <w:marLeft w:val="144"/>
          <w:marRight w:val="0"/>
          <w:marTop w:val="240"/>
          <w:marBottom w:val="40"/>
          <w:divBdr>
            <w:top w:val="none" w:sz="0" w:space="0" w:color="auto"/>
            <w:left w:val="none" w:sz="0" w:space="0" w:color="auto"/>
            <w:bottom w:val="none" w:sz="0" w:space="0" w:color="auto"/>
            <w:right w:val="none" w:sz="0" w:space="0" w:color="auto"/>
          </w:divBdr>
        </w:div>
        <w:div w:id="2077164211">
          <w:marLeft w:val="144"/>
          <w:marRight w:val="0"/>
          <w:marTop w:val="240"/>
          <w:marBottom w:val="40"/>
          <w:divBdr>
            <w:top w:val="none" w:sz="0" w:space="0" w:color="auto"/>
            <w:left w:val="none" w:sz="0" w:space="0" w:color="auto"/>
            <w:bottom w:val="none" w:sz="0" w:space="0" w:color="auto"/>
            <w:right w:val="none" w:sz="0" w:space="0" w:color="auto"/>
          </w:divBdr>
        </w:div>
      </w:divsChild>
    </w:div>
    <w:div w:id="307246835">
      <w:bodyDiv w:val="1"/>
      <w:marLeft w:val="0"/>
      <w:marRight w:val="0"/>
      <w:marTop w:val="0"/>
      <w:marBottom w:val="0"/>
      <w:divBdr>
        <w:top w:val="none" w:sz="0" w:space="0" w:color="auto"/>
        <w:left w:val="none" w:sz="0" w:space="0" w:color="auto"/>
        <w:bottom w:val="none" w:sz="0" w:space="0" w:color="auto"/>
        <w:right w:val="none" w:sz="0" w:space="0" w:color="auto"/>
      </w:divBdr>
    </w:div>
    <w:div w:id="426465131">
      <w:bodyDiv w:val="1"/>
      <w:marLeft w:val="0"/>
      <w:marRight w:val="0"/>
      <w:marTop w:val="0"/>
      <w:marBottom w:val="0"/>
      <w:divBdr>
        <w:top w:val="none" w:sz="0" w:space="0" w:color="auto"/>
        <w:left w:val="none" w:sz="0" w:space="0" w:color="auto"/>
        <w:bottom w:val="none" w:sz="0" w:space="0" w:color="auto"/>
        <w:right w:val="none" w:sz="0" w:space="0" w:color="auto"/>
      </w:divBdr>
    </w:div>
    <w:div w:id="437603543">
      <w:bodyDiv w:val="1"/>
      <w:marLeft w:val="0"/>
      <w:marRight w:val="0"/>
      <w:marTop w:val="0"/>
      <w:marBottom w:val="0"/>
      <w:divBdr>
        <w:top w:val="none" w:sz="0" w:space="0" w:color="auto"/>
        <w:left w:val="none" w:sz="0" w:space="0" w:color="auto"/>
        <w:bottom w:val="none" w:sz="0" w:space="0" w:color="auto"/>
        <w:right w:val="none" w:sz="0" w:space="0" w:color="auto"/>
      </w:divBdr>
      <w:divsChild>
        <w:div w:id="1428766644">
          <w:marLeft w:val="144"/>
          <w:marRight w:val="0"/>
          <w:marTop w:val="240"/>
          <w:marBottom w:val="40"/>
          <w:divBdr>
            <w:top w:val="none" w:sz="0" w:space="0" w:color="auto"/>
            <w:left w:val="none" w:sz="0" w:space="0" w:color="auto"/>
            <w:bottom w:val="none" w:sz="0" w:space="0" w:color="auto"/>
            <w:right w:val="none" w:sz="0" w:space="0" w:color="auto"/>
          </w:divBdr>
        </w:div>
        <w:div w:id="1055543020">
          <w:marLeft w:val="144"/>
          <w:marRight w:val="0"/>
          <w:marTop w:val="240"/>
          <w:marBottom w:val="40"/>
          <w:divBdr>
            <w:top w:val="none" w:sz="0" w:space="0" w:color="auto"/>
            <w:left w:val="none" w:sz="0" w:space="0" w:color="auto"/>
            <w:bottom w:val="none" w:sz="0" w:space="0" w:color="auto"/>
            <w:right w:val="none" w:sz="0" w:space="0" w:color="auto"/>
          </w:divBdr>
        </w:div>
        <w:div w:id="1203708074">
          <w:marLeft w:val="144"/>
          <w:marRight w:val="0"/>
          <w:marTop w:val="240"/>
          <w:marBottom w:val="40"/>
          <w:divBdr>
            <w:top w:val="none" w:sz="0" w:space="0" w:color="auto"/>
            <w:left w:val="none" w:sz="0" w:space="0" w:color="auto"/>
            <w:bottom w:val="none" w:sz="0" w:space="0" w:color="auto"/>
            <w:right w:val="none" w:sz="0" w:space="0" w:color="auto"/>
          </w:divBdr>
        </w:div>
        <w:div w:id="864247358">
          <w:marLeft w:val="144"/>
          <w:marRight w:val="0"/>
          <w:marTop w:val="240"/>
          <w:marBottom w:val="40"/>
          <w:divBdr>
            <w:top w:val="none" w:sz="0" w:space="0" w:color="auto"/>
            <w:left w:val="none" w:sz="0" w:space="0" w:color="auto"/>
            <w:bottom w:val="none" w:sz="0" w:space="0" w:color="auto"/>
            <w:right w:val="none" w:sz="0" w:space="0" w:color="auto"/>
          </w:divBdr>
        </w:div>
      </w:divsChild>
    </w:div>
    <w:div w:id="589699005">
      <w:bodyDiv w:val="1"/>
      <w:marLeft w:val="0"/>
      <w:marRight w:val="0"/>
      <w:marTop w:val="0"/>
      <w:marBottom w:val="0"/>
      <w:divBdr>
        <w:top w:val="none" w:sz="0" w:space="0" w:color="auto"/>
        <w:left w:val="none" w:sz="0" w:space="0" w:color="auto"/>
        <w:bottom w:val="none" w:sz="0" w:space="0" w:color="auto"/>
        <w:right w:val="none" w:sz="0" w:space="0" w:color="auto"/>
      </w:divBdr>
    </w:div>
    <w:div w:id="769618424">
      <w:bodyDiv w:val="1"/>
      <w:marLeft w:val="0"/>
      <w:marRight w:val="0"/>
      <w:marTop w:val="0"/>
      <w:marBottom w:val="0"/>
      <w:divBdr>
        <w:top w:val="none" w:sz="0" w:space="0" w:color="auto"/>
        <w:left w:val="none" w:sz="0" w:space="0" w:color="auto"/>
        <w:bottom w:val="none" w:sz="0" w:space="0" w:color="auto"/>
        <w:right w:val="none" w:sz="0" w:space="0" w:color="auto"/>
      </w:divBdr>
    </w:div>
    <w:div w:id="815805953">
      <w:bodyDiv w:val="1"/>
      <w:marLeft w:val="0"/>
      <w:marRight w:val="0"/>
      <w:marTop w:val="0"/>
      <w:marBottom w:val="0"/>
      <w:divBdr>
        <w:top w:val="none" w:sz="0" w:space="0" w:color="auto"/>
        <w:left w:val="none" w:sz="0" w:space="0" w:color="auto"/>
        <w:bottom w:val="none" w:sz="0" w:space="0" w:color="auto"/>
        <w:right w:val="none" w:sz="0" w:space="0" w:color="auto"/>
      </w:divBdr>
    </w:div>
    <w:div w:id="873230813">
      <w:bodyDiv w:val="1"/>
      <w:marLeft w:val="0"/>
      <w:marRight w:val="0"/>
      <w:marTop w:val="0"/>
      <w:marBottom w:val="0"/>
      <w:divBdr>
        <w:top w:val="none" w:sz="0" w:space="0" w:color="auto"/>
        <w:left w:val="none" w:sz="0" w:space="0" w:color="auto"/>
        <w:bottom w:val="none" w:sz="0" w:space="0" w:color="auto"/>
        <w:right w:val="none" w:sz="0" w:space="0" w:color="auto"/>
      </w:divBdr>
    </w:div>
    <w:div w:id="878779284">
      <w:bodyDiv w:val="1"/>
      <w:marLeft w:val="0"/>
      <w:marRight w:val="0"/>
      <w:marTop w:val="0"/>
      <w:marBottom w:val="0"/>
      <w:divBdr>
        <w:top w:val="none" w:sz="0" w:space="0" w:color="auto"/>
        <w:left w:val="none" w:sz="0" w:space="0" w:color="auto"/>
        <w:bottom w:val="none" w:sz="0" w:space="0" w:color="auto"/>
        <w:right w:val="none" w:sz="0" w:space="0" w:color="auto"/>
      </w:divBdr>
    </w:div>
    <w:div w:id="975917713">
      <w:bodyDiv w:val="1"/>
      <w:marLeft w:val="0"/>
      <w:marRight w:val="0"/>
      <w:marTop w:val="0"/>
      <w:marBottom w:val="0"/>
      <w:divBdr>
        <w:top w:val="none" w:sz="0" w:space="0" w:color="auto"/>
        <w:left w:val="none" w:sz="0" w:space="0" w:color="auto"/>
        <w:bottom w:val="none" w:sz="0" w:space="0" w:color="auto"/>
        <w:right w:val="none" w:sz="0" w:space="0" w:color="auto"/>
      </w:divBdr>
    </w:div>
    <w:div w:id="1105003757">
      <w:bodyDiv w:val="1"/>
      <w:marLeft w:val="0"/>
      <w:marRight w:val="0"/>
      <w:marTop w:val="0"/>
      <w:marBottom w:val="0"/>
      <w:divBdr>
        <w:top w:val="none" w:sz="0" w:space="0" w:color="auto"/>
        <w:left w:val="none" w:sz="0" w:space="0" w:color="auto"/>
        <w:bottom w:val="none" w:sz="0" w:space="0" w:color="auto"/>
        <w:right w:val="none" w:sz="0" w:space="0" w:color="auto"/>
      </w:divBdr>
      <w:divsChild>
        <w:div w:id="1263537669">
          <w:marLeft w:val="0"/>
          <w:marRight w:val="0"/>
          <w:marTop w:val="0"/>
          <w:marBottom w:val="0"/>
          <w:divBdr>
            <w:top w:val="none" w:sz="0" w:space="0" w:color="auto"/>
            <w:left w:val="none" w:sz="0" w:space="0" w:color="auto"/>
            <w:bottom w:val="none" w:sz="0" w:space="0" w:color="auto"/>
            <w:right w:val="none" w:sz="0" w:space="0" w:color="auto"/>
          </w:divBdr>
        </w:div>
        <w:div w:id="1535652134">
          <w:marLeft w:val="0"/>
          <w:marRight w:val="0"/>
          <w:marTop w:val="0"/>
          <w:marBottom w:val="0"/>
          <w:divBdr>
            <w:top w:val="none" w:sz="0" w:space="0" w:color="auto"/>
            <w:left w:val="none" w:sz="0" w:space="0" w:color="auto"/>
            <w:bottom w:val="none" w:sz="0" w:space="0" w:color="auto"/>
            <w:right w:val="none" w:sz="0" w:space="0" w:color="auto"/>
          </w:divBdr>
        </w:div>
        <w:div w:id="387800140">
          <w:marLeft w:val="0"/>
          <w:marRight w:val="0"/>
          <w:marTop w:val="0"/>
          <w:marBottom w:val="0"/>
          <w:divBdr>
            <w:top w:val="none" w:sz="0" w:space="0" w:color="auto"/>
            <w:left w:val="none" w:sz="0" w:space="0" w:color="auto"/>
            <w:bottom w:val="none" w:sz="0" w:space="0" w:color="auto"/>
            <w:right w:val="none" w:sz="0" w:space="0" w:color="auto"/>
          </w:divBdr>
        </w:div>
        <w:div w:id="1802075290">
          <w:marLeft w:val="0"/>
          <w:marRight w:val="0"/>
          <w:marTop w:val="0"/>
          <w:marBottom w:val="0"/>
          <w:divBdr>
            <w:top w:val="none" w:sz="0" w:space="0" w:color="auto"/>
            <w:left w:val="none" w:sz="0" w:space="0" w:color="auto"/>
            <w:bottom w:val="none" w:sz="0" w:space="0" w:color="auto"/>
            <w:right w:val="none" w:sz="0" w:space="0" w:color="auto"/>
          </w:divBdr>
        </w:div>
      </w:divsChild>
    </w:div>
    <w:div w:id="1137913511">
      <w:bodyDiv w:val="1"/>
      <w:marLeft w:val="0"/>
      <w:marRight w:val="0"/>
      <w:marTop w:val="0"/>
      <w:marBottom w:val="0"/>
      <w:divBdr>
        <w:top w:val="none" w:sz="0" w:space="0" w:color="auto"/>
        <w:left w:val="none" w:sz="0" w:space="0" w:color="auto"/>
        <w:bottom w:val="none" w:sz="0" w:space="0" w:color="auto"/>
        <w:right w:val="none" w:sz="0" w:space="0" w:color="auto"/>
      </w:divBdr>
    </w:div>
    <w:div w:id="1149126319">
      <w:bodyDiv w:val="1"/>
      <w:marLeft w:val="0"/>
      <w:marRight w:val="0"/>
      <w:marTop w:val="0"/>
      <w:marBottom w:val="0"/>
      <w:divBdr>
        <w:top w:val="none" w:sz="0" w:space="0" w:color="auto"/>
        <w:left w:val="none" w:sz="0" w:space="0" w:color="auto"/>
        <w:bottom w:val="none" w:sz="0" w:space="0" w:color="auto"/>
        <w:right w:val="none" w:sz="0" w:space="0" w:color="auto"/>
      </w:divBdr>
    </w:div>
    <w:div w:id="1225677117">
      <w:bodyDiv w:val="1"/>
      <w:marLeft w:val="0"/>
      <w:marRight w:val="0"/>
      <w:marTop w:val="0"/>
      <w:marBottom w:val="0"/>
      <w:divBdr>
        <w:top w:val="none" w:sz="0" w:space="0" w:color="auto"/>
        <w:left w:val="none" w:sz="0" w:space="0" w:color="auto"/>
        <w:bottom w:val="none" w:sz="0" w:space="0" w:color="auto"/>
        <w:right w:val="none" w:sz="0" w:space="0" w:color="auto"/>
      </w:divBdr>
      <w:divsChild>
        <w:div w:id="437995197">
          <w:marLeft w:val="0"/>
          <w:marRight w:val="0"/>
          <w:marTop w:val="0"/>
          <w:marBottom w:val="0"/>
          <w:divBdr>
            <w:top w:val="none" w:sz="0" w:space="0" w:color="auto"/>
            <w:left w:val="none" w:sz="0" w:space="0" w:color="auto"/>
            <w:bottom w:val="none" w:sz="0" w:space="0" w:color="auto"/>
            <w:right w:val="none" w:sz="0" w:space="0" w:color="auto"/>
          </w:divBdr>
        </w:div>
        <w:div w:id="1610309851">
          <w:marLeft w:val="0"/>
          <w:marRight w:val="0"/>
          <w:marTop w:val="0"/>
          <w:marBottom w:val="0"/>
          <w:divBdr>
            <w:top w:val="none" w:sz="0" w:space="0" w:color="auto"/>
            <w:left w:val="none" w:sz="0" w:space="0" w:color="auto"/>
            <w:bottom w:val="none" w:sz="0" w:space="0" w:color="auto"/>
            <w:right w:val="none" w:sz="0" w:space="0" w:color="auto"/>
          </w:divBdr>
        </w:div>
        <w:div w:id="1952392232">
          <w:marLeft w:val="0"/>
          <w:marRight w:val="0"/>
          <w:marTop w:val="0"/>
          <w:marBottom w:val="0"/>
          <w:divBdr>
            <w:top w:val="none" w:sz="0" w:space="0" w:color="auto"/>
            <w:left w:val="none" w:sz="0" w:space="0" w:color="auto"/>
            <w:bottom w:val="none" w:sz="0" w:space="0" w:color="auto"/>
            <w:right w:val="none" w:sz="0" w:space="0" w:color="auto"/>
          </w:divBdr>
        </w:div>
      </w:divsChild>
    </w:div>
    <w:div w:id="1381322829">
      <w:bodyDiv w:val="1"/>
      <w:marLeft w:val="0"/>
      <w:marRight w:val="0"/>
      <w:marTop w:val="0"/>
      <w:marBottom w:val="0"/>
      <w:divBdr>
        <w:top w:val="none" w:sz="0" w:space="0" w:color="auto"/>
        <w:left w:val="none" w:sz="0" w:space="0" w:color="auto"/>
        <w:bottom w:val="none" w:sz="0" w:space="0" w:color="auto"/>
        <w:right w:val="none" w:sz="0" w:space="0" w:color="auto"/>
      </w:divBdr>
    </w:div>
    <w:div w:id="1641690157">
      <w:bodyDiv w:val="1"/>
      <w:marLeft w:val="0"/>
      <w:marRight w:val="0"/>
      <w:marTop w:val="0"/>
      <w:marBottom w:val="0"/>
      <w:divBdr>
        <w:top w:val="none" w:sz="0" w:space="0" w:color="auto"/>
        <w:left w:val="none" w:sz="0" w:space="0" w:color="auto"/>
        <w:bottom w:val="none" w:sz="0" w:space="0" w:color="auto"/>
        <w:right w:val="none" w:sz="0" w:space="0" w:color="auto"/>
      </w:divBdr>
    </w:div>
    <w:div w:id="1676112274">
      <w:bodyDiv w:val="1"/>
      <w:marLeft w:val="0"/>
      <w:marRight w:val="0"/>
      <w:marTop w:val="0"/>
      <w:marBottom w:val="0"/>
      <w:divBdr>
        <w:top w:val="none" w:sz="0" w:space="0" w:color="auto"/>
        <w:left w:val="none" w:sz="0" w:space="0" w:color="auto"/>
        <w:bottom w:val="none" w:sz="0" w:space="0" w:color="auto"/>
        <w:right w:val="none" w:sz="0" w:space="0" w:color="auto"/>
      </w:divBdr>
    </w:div>
    <w:div w:id="1709376837">
      <w:bodyDiv w:val="1"/>
      <w:marLeft w:val="0"/>
      <w:marRight w:val="0"/>
      <w:marTop w:val="0"/>
      <w:marBottom w:val="0"/>
      <w:divBdr>
        <w:top w:val="none" w:sz="0" w:space="0" w:color="auto"/>
        <w:left w:val="none" w:sz="0" w:space="0" w:color="auto"/>
        <w:bottom w:val="none" w:sz="0" w:space="0" w:color="auto"/>
        <w:right w:val="none" w:sz="0" w:space="0" w:color="auto"/>
      </w:divBdr>
    </w:div>
    <w:div w:id="1738749612">
      <w:bodyDiv w:val="1"/>
      <w:marLeft w:val="0"/>
      <w:marRight w:val="0"/>
      <w:marTop w:val="0"/>
      <w:marBottom w:val="0"/>
      <w:divBdr>
        <w:top w:val="none" w:sz="0" w:space="0" w:color="auto"/>
        <w:left w:val="none" w:sz="0" w:space="0" w:color="auto"/>
        <w:bottom w:val="none" w:sz="0" w:space="0" w:color="auto"/>
        <w:right w:val="none" w:sz="0" w:space="0" w:color="auto"/>
      </w:divBdr>
    </w:div>
    <w:div w:id="1917468450">
      <w:bodyDiv w:val="1"/>
      <w:marLeft w:val="0"/>
      <w:marRight w:val="0"/>
      <w:marTop w:val="0"/>
      <w:marBottom w:val="0"/>
      <w:divBdr>
        <w:top w:val="none" w:sz="0" w:space="0" w:color="auto"/>
        <w:left w:val="none" w:sz="0" w:space="0" w:color="auto"/>
        <w:bottom w:val="none" w:sz="0" w:space="0" w:color="auto"/>
        <w:right w:val="none" w:sz="0" w:space="0" w:color="auto"/>
      </w:divBdr>
    </w:div>
    <w:div w:id="19567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941D-8182-4D83-A0AA-3D524F8A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880</Words>
  <Characters>5573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Ponikowska</cp:lastModifiedBy>
  <cp:revision>5</cp:revision>
  <cp:lastPrinted>2016-12-12T08:22:00Z</cp:lastPrinted>
  <dcterms:created xsi:type="dcterms:W3CDTF">2025-03-13T07:52:00Z</dcterms:created>
  <dcterms:modified xsi:type="dcterms:W3CDTF">2025-03-28T11:17:00Z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0x010100964902E1F3630D4E9C49D34331AA64D7</vt:lpwstr>
  </property>
  <property fmtid="{D5CDD505-2E9C-101B-9397-08002B2CF9AE}" pid="3" name="MSIP_Label_defa4170-0d19-0005-0004-bc88714345d2_Enabled">
    <vt:lpwstr>true</vt:lpwstr>
  </property>
  <property fmtid="{D5CDD505-2E9C-101B-9397-08002B2CF9AE}" pid="4" name="MSIP_Label_defa4170-0d19-0005-0004-bc88714345d2_SetDate">
    <vt:lpwstr>2025-03-28T11:17:06Z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9f81e52a-8c30-4544-bca0-451377348752</vt:lpwstr>
  </property>
  <property fmtid="{D5CDD505-2E9C-101B-9397-08002B2CF9AE}" pid="8" name="MSIP_Label_defa4170-0d19-0005-0004-bc88714345d2_ActionId">
    <vt:lpwstr>95d06745-35d4-4c45-bafa-d2ab35197a10</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